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120"/>
        <w:jc w:val="center"/>
      </w:pPr>
      <w:r>
        <w:rPr>
          <w:rFonts w:ascii="Palatino Linotype" w:cs="Palatino Linotype" w:eastAsia="Palatino Linotype" w:hAnsi="Palatino Linotype"/>
          <w:b/>
          <w:bCs/>
          <w:color w:val="000000"/>
          <w:sz w:val="28"/>
          <w:szCs w:val="28"/>
        </w:rPr>
        <w:t xml:space="preserve">COMUNICADO AOS CLIENTES</w:t>
      </w:r>
    </w:p>
    <w:p>
      <w:pPr>
        <w:spacing w:after="360"/>
        <w:jc w:val="center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Distribuição de lucros aos sócios a partir de 1º de janeiro de 2026 (Lei nº 15.270/2025)</w:t>
      </w:r>
    </w:p>
    <w:p>
      <w:pPr>
        <w:spacing w:after="240"/>
        <w:jc w:val="right"/>
      </w:pPr>
      <w:r>
        <w:rPr>
          <w:rFonts w:ascii="Palatino Linotype" w:cs="Palatino Linotype" w:eastAsia="Palatino Linotype" w:hAnsi="Palatino Linotype"/>
          <w:color w:val="000000"/>
          <w:sz w:val="24"/>
          <w:szCs w:val="24"/>
        </w:rPr>
        <w:t xml:space="preserve">São Paulo, 23 de abril de 2026.</w:t>
      </w:r>
    </w:p>
    <w:p>
      <w:pPr>
        <w:spacing w:after="160" w:line="32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Prezado Cliente,</w:t>
      </w:r>
    </w:p>
    <w:p>
      <w:pPr>
        <w:spacing w:after="160" w:line="32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 administração contábil das empresas sob nossos cuidados é conduzida em estrita observância às normas de compliance vigentes, com controle permanente da regularidade fiscal e societária. Esse rigor passa a ser ainda mais relevante diante das alterações trazidas pela Lei nº 15.270/2025.</w:t>
      </w:r>
    </w:p>
    <w:p>
      <w:pPr>
        <w:spacing w:after="160" w:line="32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 partir de 1º de janeiro de 2026, qualquer pagamento aos sócios a título de distribuição de lucros deve ser precedido dos seguintes procedimentos:</w:t>
      </w:r>
    </w:p>
    <w:p>
      <w:pPr>
        <w:pStyle w:val="ListParagraph"/>
        <w:numPr>
          <w:ilvl w:val="0"/>
          <w:numId w:val="2"/>
        </w:numPr>
        <w:spacing w:after="100" w:line="320"/>
        <w:jc w:val="both"/>
      </w:pPr>
      <w:r>
        <w:rPr>
          <w:rFonts w:ascii="Palatino Linotype" w:cs="Palatino Linotype" w:eastAsia="Palatino Linotype" w:hAnsi="Palatino Linotype"/>
          <w:color w:val="000000"/>
          <w:sz w:val="24"/>
          <w:szCs w:val="24"/>
        </w:rPr>
        <w:t xml:space="preserve">Levantamento prévio de balancete de verificação;</w:t>
      </w:r>
    </w:p>
    <w:p>
      <w:pPr>
        <w:pStyle w:val="ListParagraph"/>
        <w:numPr>
          <w:ilvl w:val="0"/>
          <w:numId w:val="2"/>
        </w:numPr>
        <w:spacing w:after="100" w:line="320"/>
        <w:jc w:val="both"/>
      </w:pPr>
      <w:r>
        <w:rPr>
          <w:rFonts w:ascii="Palatino Linotype" w:cs="Palatino Linotype" w:eastAsia="Palatino Linotype" w:hAnsi="Palatino Linotype"/>
          <w:color w:val="000000"/>
          <w:sz w:val="24"/>
          <w:szCs w:val="24"/>
        </w:rPr>
        <w:t xml:space="preserve">Constatação contábil da existência de lucros acumulados disponíveis para distribuição;</w:t>
      </w:r>
    </w:p>
    <w:p>
      <w:pPr>
        <w:pStyle w:val="ListParagraph"/>
        <w:numPr>
          <w:ilvl w:val="0"/>
          <w:numId w:val="2"/>
        </w:numPr>
        <w:spacing w:after="100" w:line="320"/>
        <w:jc w:val="both"/>
      </w:pPr>
      <w:r>
        <w:rPr>
          <w:rFonts w:ascii="Palatino Linotype" w:cs="Palatino Linotype" w:eastAsia="Palatino Linotype" w:hAnsi="Palatino Linotype"/>
          <w:color w:val="000000"/>
          <w:sz w:val="24"/>
          <w:szCs w:val="24"/>
        </w:rPr>
        <w:t xml:space="preserve">Verificação de que os valores correspondem a saldo de lucros acumulados apurados em 2025 e regularmente registrados na Ata exigida pela legislação especial.</w:t>
      </w:r>
    </w:p>
    <w:p>
      <w:pPr>
        <w:spacing w:after="160" w:line="32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Não atendidos esses requisitos, incidirá Imposto de Renda Retido na Fonte à alíquota de 10% sobre os saques mensais que ultrapassem R$ 50.000,00 (cinquenta mil reais).</w:t>
      </w:r>
    </w:p>
    <w:p>
      <w:pPr>
        <w:spacing w:after="160" w:before="240"/>
        <w:jc w:val="left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Observação importante quanto ao cálculo do IRRF</w:t>
      </w:r>
    </w:p>
    <w:p>
      <w:pPr>
        <w:spacing w:after="160" w:line="32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Caso a distribuição já tenha sido efetuada sem a devida retenção na fonte, o valor do imposto a recolher não é obtido pela simples aplicação de 10% sobre a quantia transferida ao sócio. O cálculo correto exige o reagrupamento da base (gross-up): o valor líquido transferido deve ser dividido por 0,9 para que se chegue ao valor bruto, sobre o qual incidirão os 10% de IRRF. O imposto, portanto, passa a corresponder, na prática, a aproximadamente 11,11% do valor líquido entregue ao sócio, agravando o montante a ser recolhido.</w:t>
      </w:r>
    </w:p>
    <w:p>
      <w:pPr>
        <w:spacing w:after="160" w:line="32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Exemplo: distribuídos R$ 100.000,00 sem retenção, o valor bruto é apurado em R$ 111.111,11 (R$ 100.000,00 ÷ 0,9), do que resulta IRRF de R$ 11.111,11, e não de R$ 10.000,00.</w:t>
      </w:r>
    </w:p>
    <w:p>
      <w:pPr>
        <w:spacing w:after="160" w:before="240"/>
        <w:jc w:val="left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Equiparação à distribuição de lucros</w:t>
      </w:r>
    </w:p>
    <w:p>
      <w:pPr>
        <w:spacing w:after="160" w:line="32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Cabe ressaltar que a lei equipara à distribuição de lucros qualquer benefício pago aos sócios, ainda que sob outra rubrica contábil, tais como:</w:t>
      </w:r>
    </w:p>
    <w:p>
      <w:pPr>
        <w:pStyle w:val="ListParagraph"/>
        <w:numPr>
          <w:ilvl w:val="0"/>
          <w:numId w:val="3"/>
        </w:numPr>
        <w:spacing w:after="100" w:line="320"/>
        <w:jc w:val="both"/>
      </w:pPr>
      <w:r>
        <w:rPr>
          <w:rFonts w:ascii="Palatino Linotype" w:cs="Palatino Linotype" w:eastAsia="Palatino Linotype" w:hAnsi="Palatino Linotype"/>
          <w:color w:val="000000"/>
          <w:sz w:val="24"/>
          <w:szCs w:val="24"/>
        </w:rPr>
        <w:t xml:space="preserve">convênio médico;</w:t>
      </w:r>
    </w:p>
    <w:p>
      <w:pPr>
        <w:pStyle w:val="ListParagraph"/>
        <w:numPr>
          <w:ilvl w:val="0"/>
          <w:numId w:val="3"/>
        </w:numPr>
        <w:spacing w:after="100" w:line="320"/>
        <w:jc w:val="both"/>
      </w:pPr>
      <w:r>
        <w:rPr>
          <w:rFonts w:ascii="Palatino Linotype" w:cs="Palatino Linotype" w:eastAsia="Palatino Linotype" w:hAnsi="Palatino Linotype"/>
          <w:color w:val="000000"/>
          <w:sz w:val="24"/>
          <w:szCs w:val="24"/>
        </w:rPr>
        <w:t xml:space="preserve">pagamento de cartão de crédito;</w:t>
      </w:r>
    </w:p>
    <w:p>
      <w:pPr>
        <w:pStyle w:val="ListParagraph"/>
        <w:numPr>
          <w:ilvl w:val="0"/>
          <w:numId w:val="3"/>
        </w:numPr>
        <w:spacing w:after="100" w:line="320"/>
        <w:jc w:val="both"/>
      </w:pPr>
      <w:r>
        <w:rPr>
          <w:rFonts w:ascii="Palatino Linotype" w:cs="Palatino Linotype" w:eastAsia="Palatino Linotype" w:hAnsi="Palatino Linotype"/>
          <w:color w:val="000000"/>
          <w:sz w:val="24"/>
          <w:szCs w:val="24"/>
        </w:rPr>
        <w:t xml:space="preserve">telefone celular;</w:t>
      </w:r>
    </w:p>
    <w:p>
      <w:pPr>
        <w:pStyle w:val="ListParagraph"/>
        <w:numPr>
          <w:ilvl w:val="0"/>
          <w:numId w:val="3"/>
        </w:numPr>
        <w:spacing w:after="100" w:line="320"/>
        <w:jc w:val="both"/>
      </w:pPr>
      <w:r>
        <w:rPr>
          <w:rFonts w:ascii="Palatino Linotype" w:cs="Palatino Linotype" w:eastAsia="Palatino Linotype" w:hAnsi="Palatino Linotype"/>
          <w:color w:val="000000"/>
          <w:sz w:val="24"/>
          <w:szCs w:val="24"/>
        </w:rPr>
        <w:t xml:space="preserve">uso de veículos, salvo quando comprovadamente vinculados ao exercício da atividade empresarial.</w:t>
      </w:r>
    </w:p>
    <w:p>
      <w:pPr>
        <w:spacing w:after="160" w:before="240"/>
        <w:jc w:val="left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Recomendação</w:t>
      </w:r>
    </w:p>
    <w:p>
      <w:pPr>
        <w:spacing w:after="160" w:line="32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Reiteramos a orientação: procurem-nos antes de efetuar qualquer pagamento ou concessão de benefício aos sócios. A análise prévia evita autuações fiscais e a incidência indevida do IRRF, além de assegurar a correta documentação contábil e societária da operação.</w:t>
      </w:r>
    </w:p>
    <w:p>
      <w:pPr>
        <w:spacing w:after="160" w:line="32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Permanecemos à disposição para os esclarecimentos que se fizerem necessários.</w:t>
      </w:r>
    </w:p>
    <w:p>
      <w:r>
        <w:rPr>
          <w:rFonts w:ascii="Palatino Linotype" w:cs="Palatino Linotype" w:eastAsia="Palatino Linotype" w:hAnsi="Palatino Linotype"/>
          <w:sz w:val="24"/>
          <w:szCs w:val="24"/>
        </w:rPr>
        <w:t xml:space="preserve"/>
      </w:r>
    </w:p>
    <w:p>
      <w:r>
        <w:rPr>
          <w:rFonts w:ascii="Palatino Linotype" w:cs="Palatino Linotype" w:eastAsia="Palatino Linotype" w:hAnsi="Palatino Linotype"/>
          <w:sz w:val="24"/>
          <w:szCs w:val="24"/>
        </w:rPr>
        <w:t xml:space="preserve"/>
      </w:r>
    </w:p>
    <w:p>
      <w:pPr>
        <w:spacing w:after="0" w:before="240"/>
        <w:jc w:val="center"/>
      </w:pPr>
      <w:r>
        <w:rPr>
          <w:rFonts w:ascii="Palatino Linotype" w:cs="Palatino Linotype" w:eastAsia="Palatino Linotype" w:hAnsi="Palatino Linotype"/>
          <w:b/>
          <w:bCs/>
          <w:color w:val="000000"/>
          <w:sz w:val="24"/>
          <w:szCs w:val="24"/>
        </w:rPr>
        <w:t xml:space="preserve">Piraci Oliveira - Advogado - OAB/SP 200.270</w:t>
      </w:r>
    </w:p>
    <w:sectPr>
      <w:headerReference w:type="default" r:id="rId7"/>
      <w:footerReference w:type="default" r:id="rId8"/>
      <w:pgSz w:w="11906" w:h="16838" w:orient="portrait"/>
      <w:pgMar w:top="1700" w:right="1440" w:bottom="17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4" w:space="4"/>
      </w:pBdr>
      <w:spacing w:before="60"/>
      <w:jc w:val="center"/>
    </w:pPr>
    <w:r>
      <w:rPr>
        <w:rFonts w:ascii="Palatino Linotype" w:cs="Palatino Linotype" w:eastAsia="Palatino Linotype" w:hAnsi="Palatino Linotype"/>
        <w:color w:val="000000"/>
        <w:sz w:val="18"/>
        <w:szCs w:val="18"/>
      </w:rPr>
      <w:t xml:space="preserve">piraci@piraci.com.br  |  piraciadv.blog  |  Instagram: @piracioliveira</w:t>
    </w:r>
  </w:p>
  <w:p>
    <w:pPr>
      <w:jc w:val="center"/>
    </w:pPr>
    <w:r>
      <w:rPr>
        <w:rFonts w:ascii="Palatino Linotype" w:cs="Palatino Linotype" w:eastAsia="Palatino Linotype" w:hAnsi="Palatino Linotype"/>
        <w:color w:val="000000"/>
        <w:sz w:val="18"/>
        <w:szCs w:val="18"/>
      </w:rPr>
      <w:t xml:space="preserve">Página </w:t>
    </w:r>
    <w:r>
      <w:rPr>
        <w:rFonts w:ascii="Palatino Linotype" w:cs="Palatino Linotype" w:eastAsia="Palatino Linotype" w:hAnsi="Palatino Linotype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/>
      <w:jc w:val="center"/>
    </w:pPr>
    <w:r>
      <w:rPr>
        <w:rFonts w:ascii="Palatino Linotype" w:cs="Palatino Linotype" w:eastAsia="Palatino Linotype" w:hAnsi="Palatino Linotype"/>
        <w:b/>
        <w:bCs/>
        <w:color w:val="000000"/>
        <w:sz w:val="36"/>
        <w:szCs w:val="36"/>
      </w:rPr>
      <w:t xml:space="preserve">PIRACI OLIVEIRA</w:t>
    </w:r>
  </w:p>
  <w:p>
    <w:pPr>
      <w:spacing w:after="0"/>
      <w:jc w:val="center"/>
    </w:pPr>
    <w:r>
      <w:rPr>
        <w:rFonts w:ascii="Palatino Linotype" w:cs="Palatino Linotype" w:eastAsia="Palatino Linotype" w:hAnsi="Palatino Linotype"/>
        <w:b/>
        <w:bCs/>
        <w:color w:val="000000"/>
        <w:sz w:val="24"/>
        <w:szCs w:val="24"/>
      </w:rPr>
      <w:t xml:space="preserve">ADVOGADOS</w:t>
    </w:r>
  </w:p>
  <w:p>
    <w:pPr>
      <w:pBdr>
        <w:bottom w:val="single" w:color="000000" w:sz="6" w:space="4"/>
      </w:pBdr>
      <w:spacing w:after="120"/>
      <w:jc w:val="center"/>
    </w:pPr>
    <w:r>
      <w:rPr>
        <w:rFonts w:ascii="Palatino Linotype" w:cs="Palatino Linotype" w:eastAsia="Palatino Linotype" w:hAnsi="Palatino Linotype"/>
        <w:i/>
        <w:iCs/>
        <w:color w:val="000000"/>
        <w:sz w:val="18"/>
        <w:szCs w:val="18"/>
      </w:rPr>
      <w:t xml:space="preserve">Consultoria Empresarial, Tributária e Societária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 Linotype" w:cs="Palatino Linotype" w:eastAsia="Palatino Linotype" w:hAnsi="Palatino Linotype"/>
        <w:color w:val="000000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aos Clientes - Lei 15.270/2025</dc:title>
  <dc:creator>Piraci Oliveira Advogados</dc:creator>
  <cp:lastModifiedBy>Un-named</cp:lastModifiedBy>
  <cp:revision>1</cp:revision>
  <dcterms:created xsi:type="dcterms:W3CDTF">2026-04-23T17:28:46.195Z</dcterms:created>
  <dcterms:modified xsi:type="dcterms:W3CDTF">2026-04-23T17:28:46.196Z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