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46B9" w14:textId="77777777" w:rsidR="004D17E6" w:rsidRDefault="00000000">
      <w:pPr>
        <w:spacing w:after="120"/>
        <w:jc w:val="center"/>
      </w:pPr>
      <w:r>
        <w:rPr>
          <w:rFonts w:ascii="Palatino Linotype" w:hAnsi="Palatino Linotype" w:cs="Palatino Linotype"/>
          <w:b/>
          <w:bCs/>
          <w:sz w:val="28"/>
          <w:szCs w:val="28"/>
        </w:rPr>
        <w:t>Estudo acerca dos impactos da tributação do CBS, com efeitos a partir de janeiro de 2027, sobre bares e restaurantes optantes pelo SIMPLES NACIONAL</w:t>
      </w:r>
    </w:p>
    <w:p w14:paraId="72C20D42" w14:textId="77777777" w:rsidR="004D17E6" w:rsidRDefault="00000000">
      <w:pPr>
        <w:jc w:val="right"/>
      </w:pPr>
      <w:r>
        <w:rPr>
          <w:rFonts w:ascii="Palatino Linotype" w:hAnsi="Palatino Linotype" w:cs="Palatino Linotype"/>
          <w:b/>
          <w:bCs/>
          <w:sz w:val="24"/>
          <w:szCs w:val="24"/>
        </w:rPr>
        <w:t>São Paulo, 28 de abril de 2026.</w:t>
      </w:r>
    </w:p>
    <w:p w14:paraId="198385F4" w14:textId="77777777" w:rsidR="004D17E6" w:rsidRDefault="00000000">
      <w:pPr>
        <w:spacing w:before="0" w:after="200" w:line="312" w:lineRule="auto"/>
        <w:ind w:firstLine="567"/>
      </w:pPr>
      <w:r>
        <w:rPr>
          <w:rFonts w:ascii="Palatino Linotype" w:hAnsi="Palatino Linotype" w:cs="Palatino Linotype"/>
          <w:b/>
          <w:bCs/>
          <w:sz w:val="24"/>
          <w:szCs w:val="24"/>
        </w:rPr>
        <w:t xml:space="preserve">Assunto: </w:t>
      </w:r>
      <w:r>
        <w:rPr>
          <w:rFonts w:ascii="Palatino Linotype" w:hAnsi="Palatino Linotype" w:cs="Palatino Linotype"/>
          <w:sz w:val="24"/>
          <w:szCs w:val="24"/>
        </w:rPr>
        <w:t>Comparativo da carga tributária sobre operação de fornecimento de alimentação — Simples Nacional, Anexo I. Cenário atual (PIS e COFINS) e cenário pós-reforma com a CBS a 6%. Verificação em ambos os cenários: (i) por dentro do DAS e (ii) por fora do DAS (método híbrido).</w:t>
      </w:r>
    </w:p>
    <w:p w14:paraId="65B6A78C" w14:textId="77777777" w:rsidR="004D17E6" w:rsidRDefault="00000000">
      <w:pPr>
        <w:spacing w:before="120" w:after="120" w:line="312" w:lineRule="auto"/>
      </w:pPr>
      <w:r>
        <w:rPr>
          <w:rFonts w:ascii="Palatino Linotype" w:hAnsi="Palatino Linotype" w:cs="Palatino Linotype"/>
          <w:b/>
          <w:bCs/>
          <w:sz w:val="24"/>
          <w:szCs w:val="24"/>
        </w:rPr>
        <w:t>Prezados Senhores,</w:t>
      </w:r>
    </w:p>
    <w:p w14:paraId="2B4691C2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Apresentamos estudo preliminar comparativo da carga tributária incidente sobre operação aleatória, no valor de R$ 10.000,00, emitida por bar/restaurante optante pelo Simples Nacional, Anexo I, com receita bruta acumulada de R$ 2.400.000,00 nos últimos doze meses (faturamento mensal de R$ 200.000,00).</w:t>
      </w:r>
    </w:p>
    <w:p w14:paraId="4D528888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avaliação é conduzida em duas referências temporais: dezembro de 2026, na sistemática vigente do PIS e da COFINS, e janeiro de 2027, com a entrada da Contribuição sobre Bens e Serviços (CBS), aqui simulada à alíquota hipotética de 6%.</w:t>
      </w:r>
    </w:p>
    <w:p w14:paraId="724CA710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Os números apresentados ao longo deste parecer estão demonstrados, célula a célula, na planilha que acompanha o presente, intitulada Estudo_PIS_COFINS_x_CBS.xlsx.</w:t>
      </w:r>
    </w:p>
    <w:p w14:paraId="01B212F8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Para facilitar a comparação, este exemplo hipotético adota como premissa estabelecimento que tenha “optado”, em setembro de 2026, pela tributação híbrida do IVA, ou seja, que a contar de 1º/1/2027 passa a apurar a CBS “por fora” do DAS.</w:t>
      </w:r>
    </w:p>
    <w:p w14:paraId="278E54D7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Vamos ao racional.</w:t>
      </w:r>
    </w:p>
    <w:p w14:paraId="1A597E0C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I. Cenário atual — dezembro de 2026</w:t>
      </w:r>
    </w:p>
    <w:p w14:paraId="764556D7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lastRenderedPageBreak/>
        <w:t>A receita bruta acumulada (RBT12) de R$ 2.400.000,00 enquadra o estabelecimento na 5ª faixa do Anexo I da LC nº 123/2006, que vai de R$ 1.800.000,01 a R$ 3.600.000,00.</w:t>
      </w:r>
    </w:p>
    <w:p w14:paraId="5D21770E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alíquota nominal aplicável é de 14,30%, com parcela a deduzir de R$ 87.300,00.</w:t>
      </w:r>
    </w:p>
    <w:p w14:paraId="67E14527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alíquota efetiva, considerada a apuração padrão do segmento de bares e restaurantes, é de 10,13%.</w:t>
      </w:r>
    </w:p>
    <w:p w14:paraId="4826C6AE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Aplicada essa alíquota sobre a operação de R$ 10.000,00, o DAS apurado é de R$ 1.013,00.</w:t>
      </w:r>
    </w:p>
    <w:p w14:paraId="12A0CF11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composição interna do DAS, conforme a repartição prevista para a 5ª faixa do Anexo I, é a seguinte:</w:t>
      </w:r>
    </w:p>
    <w:p w14:paraId="3E346816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b/>
          <w:bCs/>
          <w:sz w:val="24"/>
          <w:szCs w:val="24"/>
        </w:rPr>
        <w:t>IRPJ: R$ 55,72 (5,50%)</w:t>
      </w:r>
    </w:p>
    <w:p w14:paraId="7B89F492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b/>
          <w:bCs/>
          <w:sz w:val="24"/>
          <w:szCs w:val="24"/>
        </w:rPr>
        <w:t>CSLL: R$ 35,46 (3,50%)</w:t>
      </w:r>
    </w:p>
    <w:p w14:paraId="76788A69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b/>
          <w:bCs/>
          <w:sz w:val="24"/>
          <w:szCs w:val="24"/>
        </w:rPr>
        <w:t>COFINS: R$ 129,06 (12,74%)</w:t>
      </w:r>
    </w:p>
    <w:p w14:paraId="0962C447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b/>
          <w:bCs/>
          <w:sz w:val="24"/>
          <w:szCs w:val="24"/>
        </w:rPr>
        <w:t>PIS/PASEP: R$ 27,96 (2,76%)</w:t>
      </w:r>
    </w:p>
    <w:p w14:paraId="2D107B16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b/>
          <w:bCs/>
          <w:sz w:val="24"/>
          <w:szCs w:val="24"/>
        </w:rPr>
        <w:t>CPP (contribuição previdenciária patronal): R$ 426,47 (42,10%)</w:t>
      </w:r>
    </w:p>
    <w:p w14:paraId="6C4EC3AC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b/>
          <w:bCs/>
          <w:sz w:val="24"/>
          <w:szCs w:val="24"/>
        </w:rPr>
        <w:t>ICMS: R$ 339,36 (33,50%)</w:t>
      </w:r>
    </w:p>
    <w:p w14:paraId="24B57EAB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b/>
          <w:bCs/>
          <w:sz w:val="24"/>
          <w:szCs w:val="24"/>
          <w:u w:val="single"/>
        </w:rPr>
        <w:t>PIS e COFINS</w:t>
      </w:r>
      <w:r>
        <w:rPr>
          <w:rFonts w:ascii="Palatino Linotype" w:hAnsi="Palatino Linotype" w:cs="Palatino Linotype"/>
          <w:sz w:val="24"/>
          <w:szCs w:val="24"/>
        </w:rPr>
        <w:t xml:space="preserve"> são tributos calculados por dentro, na forma do art. 18 da LC nº 123/2006: a alíquota incide sobre o próprio preço, e o tributo já está embutido no valor da operação. Logo, sobre o preço de R$ 10.000,00, o estabelecimento recolhe, em conjunto, R$ 157,02 a título de PIS e COFINS, </w:t>
      </w:r>
      <w:r>
        <w:rPr>
          <w:rFonts w:ascii="Palatino Linotype" w:hAnsi="Palatino Linotype" w:cs="Palatino Linotype"/>
          <w:b/>
          <w:bCs/>
          <w:sz w:val="24"/>
          <w:szCs w:val="24"/>
          <w:u w:val="single"/>
        </w:rPr>
        <w:t>equivalente a 1,57%</w:t>
      </w:r>
      <w:r>
        <w:rPr>
          <w:rFonts w:ascii="Palatino Linotype" w:hAnsi="Palatino Linotype" w:cs="Palatino Linotype"/>
          <w:sz w:val="24"/>
          <w:szCs w:val="24"/>
        </w:rPr>
        <w:t xml:space="preserve"> do faturamento.</w:t>
      </w:r>
    </w:p>
    <w:p w14:paraId="61C93039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Esse é o valor que a reforma tributária reorganiza nos anos de 2027 e 2028, tempo a que este estudo se dedica.</w:t>
      </w:r>
    </w:p>
    <w:p w14:paraId="7E4BED32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 xml:space="preserve">Caso o contribuinte opte por permanecer no regime unificado do Simples Nacional — isto é, com a CBS apurada por dentro do DAS —, a mudança a partir de janeiro de 2027 será meramente nominativa: as rubricas de COFINS (R$ 129,06) e PIS/PASEP (R$ </w:t>
      </w:r>
      <w:r>
        <w:rPr>
          <w:rFonts w:ascii="Palatino Linotype" w:hAnsi="Palatino Linotype" w:cs="Palatino Linotype"/>
          <w:sz w:val="24"/>
          <w:szCs w:val="24"/>
        </w:rPr>
        <w:lastRenderedPageBreak/>
        <w:t>27,96) serão substituídas pela rubrica CBS, mantendo-se exatamente o mesmo valor total de R$ 157,02 e, consequentemente, o mesmo DAS de R$ 1.013,00.</w:t>
      </w:r>
    </w:p>
    <w:p w14:paraId="41D785FC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Nessa hipótese, o bar/restaurante optante pelo Simples Nacional não terá direito a tomar qualquer crédito de CBS sobre suas aquisições.</w:t>
      </w:r>
    </w:p>
    <w:p w14:paraId="043BE0E7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O adquirente da operação, por sua vez, poderá apropriar-se apenas do valor de R$ 157,02, correspondente à CBS embutida no DAS. Em outras palavras, a guia DAS seria rigorosamente a mesma, e o crédito transferido ao adquirente/cliente limitar-se-ia a R$ 157,02.</w:t>
      </w:r>
    </w:p>
    <w:p w14:paraId="082FB4EB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 xml:space="preserve">A redação da reforma e o material explicativo do Ministério da Fazenda indicam que empresas do Simples </w:t>
      </w:r>
      <w:r>
        <w:rPr>
          <w:rFonts w:ascii="Palatino Linotype" w:hAnsi="Palatino Linotype" w:cs="Palatino Linotype"/>
          <w:i/>
          <w:iCs/>
          <w:sz w:val="24"/>
          <w:szCs w:val="24"/>
        </w:rPr>
        <w:t>“passarão a gerar créditos para os adquirentes”</w:t>
      </w:r>
      <w:r>
        <w:rPr>
          <w:rFonts w:ascii="Palatino Linotype" w:hAnsi="Palatino Linotype" w:cs="Palatino Linotype"/>
          <w:sz w:val="24"/>
          <w:szCs w:val="24"/>
        </w:rPr>
        <w:t xml:space="preserve">, calculados sobre o IBS/CBS efetivamente recolhidos no regime unificado, </w:t>
      </w:r>
      <w:r>
        <w:rPr>
          <w:rFonts w:ascii="Palatino Linotype" w:hAnsi="Palatino Linotype" w:cs="Palatino Linotype"/>
          <w:b/>
          <w:bCs/>
          <w:sz w:val="24"/>
          <w:szCs w:val="24"/>
          <w:u w:val="single"/>
        </w:rPr>
        <w:t>desde que o valor esteja discriminado na nota fiscal, ou seja, deverá haver o destaque mesmo nesses casos, o que hoje não ocorre.</w:t>
      </w:r>
    </w:p>
    <w:p w14:paraId="293C5B49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Pontos que ainda dependem de regulamentação</w:t>
      </w:r>
    </w:p>
    <w:p w14:paraId="0B86D70A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operacionalização (percentuais exatos do DAS que serão considerados IBS/CBS, forma de destaque na NF e escrituração pelo adquirente) ainda depende de leis complementares e de atos infralegais dos comitês do IBS e da CBS, em especial do regulamento que está para ser publicado.</w:t>
      </w:r>
    </w:p>
    <w:p w14:paraId="4EF4541A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Até lá, recomenda-se tratar a estimativa como: haverá geração/transferência de crédito pelo fornecedor do Simples com IVA por dentro, mas em montante limitado ao IBS/CBS efetivamente recolhido em regime simplificado, e não como ocorre no IVA pleno do regime por fora.</w:t>
      </w:r>
    </w:p>
    <w:p w14:paraId="0E4B4F80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Em síntese</w:t>
      </w:r>
    </w:p>
    <w:p w14:paraId="7A35A41C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No cenário de manutenção do regime por dentro, a contar de janeiro de 2027, quando o fornecedor for optante pelo Simples Nacional e permanecer com a CBS embutida no DAS, o quadro financeiro para o adquirente da operação será o seguinte:</w:t>
      </w:r>
    </w:p>
    <w:p w14:paraId="76E5B25E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lastRenderedPageBreak/>
        <w:t>(i) o desembolso financeiro total continuará sendo de R$ 10.000,00, pois o preço da operação não se altera;</w:t>
      </w:r>
    </w:p>
    <w:p w14:paraId="64F8A513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(ii) o custo contábil será de R$ 9.842,98, resultado da dedução do crédito de CBS (R$ 10.000,00 − R$ 157,02 = R$ 9.842,98); e</w:t>
      </w:r>
    </w:p>
    <w:p w14:paraId="31E1BD85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(iii) o crédito de CBS aproveitável pelo adquirente será de R$ 157,02 — valor idêntico ao que antes correspondia a PIS e COFINS, agora sob a rubrica CBS.</w:t>
      </w:r>
    </w:p>
    <w:p w14:paraId="3C305535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II. A substituição pela CBS — janeiro de 2027</w:t>
      </w:r>
    </w:p>
    <w:p w14:paraId="2541AD72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Emenda Constitucional nº 132/2023, regulamentada pela Lei Complementar nº 214/2025, extingue o PIS e a COFINS e os substitui pela CBS — Contribuição sobre Bens e Serviços, cujo início está previsto para 1º de janeiro de 2027.</w:t>
      </w:r>
    </w:p>
    <w:p w14:paraId="63A7A410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 xml:space="preserve">A CBS adota a sistemática do IVA, com duas características que a distinguem das contribuições atuais: </w:t>
      </w:r>
      <w:r>
        <w:rPr>
          <w:rFonts w:ascii="Palatino Linotype" w:hAnsi="Palatino Linotype" w:cs="Palatino Linotype"/>
          <w:b/>
          <w:bCs/>
          <w:sz w:val="24"/>
          <w:szCs w:val="24"/>
          <w:u w:val="single"/>
        </w:rPr>
        <w:t>é não cumulativa</w:t>
      </w:r>
      <w:r>
        <w:rPr>
          <w:rFonts w:ascii="Palatino Linotype" w:hAnsi="Palatino Linotype" w:cs="Palatino Linotype"/>
          <w:sz w:val="24"/>
          <w:szCs w:val="24"/>
        </w:rPr>
        <w:t xml:space="preserve">, com direito a crédito amplo sobre as aquisições, e </w:t>
      </w:r>
      <w:r>
        <w:rPr>
          <w:rFonts w:ascii="Palatino Linotype" w:hAnsi="Palatino Linotype" w:cs="Palatino Linotype"/>
          <w:b/>
          <w:bCs/>
          <w:sz w:val="24"/>
          <w:szCs w:val="24"/>
          <w:u w:val="single"/>
        </w:rPr>
        <w:t>é cobrada por fora</w:t>
      </w:r>
      <w:r>
        <w:rPr>
          <w:rFonts w:ascii="Palatino Linotype" w:hAnsi="Palatino Linotype" w:cs="Palatino Linotype"/>
          <w:sz w:val="24"/>
          <w:szCs w:val="24"/>
        </w:rPr>
        <w:t>, ou seja, é destacada na nota fiscal e somada ao preço da operação.</w:t>
      </w:r>
    </w:p>
    <w:p w14:paraId="314DD5C0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 xml:space="preserve">Para o bar/restaurante optante pelo Simples Nacional, a LC nº 214/2025 </w:t>
      </w:r>
      <w:r>
        <w:rPr>
          <w:rFonts w:ascii="Palatino Linotype" w:hAnsi="Palatino Linotype" w:cs="Palatino Linotype"/>
          <w:b/>
          <w:bCs/>
          <w:sz w:val="24"/>
          <w:szCs w:val="24"/>
          <w:u w:val="single"/>
        </w:rPr>
        <w:t>permite que se mantenha</w:t>
      </w:r>
      <w:r>
        <w:rPr>
          <w:rFonts w:ascii="Palatino Linotype" w:hAnsi="Palatino Linotype" w:cs="Palatino Linotype"/>
          <w:sz w:val="24"/>
          <w:szCs w:val="24"/>
        </w:rPr>
        <w:t xml:space="preserve"> no regime unificado, com a CBS dentro do DAS e sem direito a crédito, ou que opte por apurar a CBS pelo regime regular.</w:t>
      </w:r>
    </w:p>
    <w:p w14:paraId="120DFBB9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b/>
          <w:bCs/>
          <w:sz w:val="24"/>
          <w:szCs w:val="24"/>
          <w:u w:val="single"/>
        </w:rPr>
        <w:t>Esta segunda alternativa</w:t>
      </w:r>
      <w:r>
        <w:rPr>
          <w:rFonts w:ascii="Palatino Linotype" w:hAnsi="Palatino Linotype" w:cs="Palatino Linotype"/>
          <w:sz w:val="24"/>
          <w:szCs w:val="24"/>
        </w:rPr>
        <w:t xml:space="preserve"> preserva o cálculo do Simples para IRPJ, CSLL, CPP e ICMS, mas retira do DAS a CBS (atualmente PIS e COFINS), que passa a ser apurada à parte, com </w:t>
      </w:r>
      <w:r>
        <w:rPr>
          <w:rFonts w:ascii="Palatino Linotype" w:hAnsi="Palatino Linotype" w:cs="Palatino Linotype"/>
          <w:b/>
          <w:bCs/>
          <w:sz w:val="24"/>
          <w:szCs w:val="24"/>
          <w:u w:val="single"/>
        </w:rPr>
        <w:t>débito por fora e direito a crédito sobre as aquisições</w:t>
      </w:r>
      <w:r>
        <w:rPr>
          <w:rFonts w:ascii="Palatino Linotype" w:hAnsi="Palatino Linotype" w:cs="Palatino Linotype"/>
          <w:sz w:val="24"/>
          <w:szCs w:val="24"/>
        </w:rPr>
        <w:t>.</w:t>
      </w:r>
    </w:p>
    <w:p w14:paraId="3D7E9AEF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Considera-se, no presente estudo, que o estabelecimento opta pelo regime regular da CBS, justamente para discutir o impacto sobre o preço e o aproveitamento de créditos.</w:t>
      </w:r>
    </w:p>
    <w:p w14:paraId="3D0A9B8A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II.1. Recomposição do preço</w:t>
      </w:r>
    </w:p>
    <w:p w14:paraId="5AFDD95E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Como o preço de R$ 10.000,00 contém PIS e COFINS embutidos (cálculo por dentro) e a CBS é cobrada por fora, a primeira providência é retirar do preço atual a parcela embutida de PIS e COFINS, para então aplicar a alíquota da CBS sobre o preço-base.</w:t>
      </w:r>
    </w:p>
    <w:p w14:paraId="5788DBFD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lastRenderedPageBreak/>
        <w:t>A operação é a seguinte:</w:t>
      </w:r>
    </w:p>
    <w:p w14:paraId="386C67E1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sz w:val="24"/>
          <w:szCs w:val="24"/>
        </w:rPr>
        <w:t>Preço atual (DEZ/2026): R$ 10.000,00</w:t>
      </w:r>
    </w:p>
    <w:p w14:paraId="31D9FCF4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sz w:val="24"/>
          <w:szCs w:val="24"/>
        </w:rPr>
        <w:t xml:space="preserve">(–) PIS + COFINS embutidos (1,5702% × R$ 10.000,00): </w:t>
      </w:r>
      <w:r>
        <w:rPr>
          <w:rFonts w:ascii="Palatino Linotype" w:hAnsi="Palatino Linotype" w:cs="Palatino Linotype"/>
          <w:b/>
          <w:bCs/>
          <w:sz w:val="24"/>
          <w:szCs w:val="24"/>
          <w:u w:val="single"/>
        </w:rPr>
        <w:t>R$ 157,02</w:t>
      </w:r>
    </w:p>
    <w:p w14:paraId="12C9EACB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sz w:val="24"/>
          <w:szCs w:val="24"/>
        </w:rPr>
        <w:t>(=) Preço-base sem PIS/COFINS: R$ 9.842,98</w:t>
      </w:r>
    </w:p>
    <w:p w14:paraId="67413287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sz w:val="24"/>
          <w:szCs w:val="24"/>
        </w:rPr>
        <w:t xml:space="preserve">(+) CBS por fora (6% × R$ 9.842,98): </w:t>
      </w:r>
      <w:r>
        <w:rPr>
          <w:rFonts w:ascii="Palatino Linotype" w:hAnsi="Palatino Linotype" w:cs="Palatino Linotype"/>
          <w:b/>
          <w:bCs/>
          <w:sz w:val="24"/>
          <w:szCs w:val="24"/>
        </w:rPr>
        <w:t>R$ 590,58</w:t>
      </w:r>
    </w:p>
    <w:p w14:paraId="4B3C5B81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b/>
          <w:bCs/>
          <w:sz w:val="24"/>
          <w:szCs w:val="24"/>
        </w:rPr>
        <w:t>(=) Novo preço da operação em JAN/2027: R$ 10.433,56</w:t>
      </w:r>
    </w:p>
    <w:p w14:paraId="658F445E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O novo preço da operação, mantida íntegra a remuneração líquida do estabelecimento, passa a ser de R$ 10.433,56.</w:t>
      </w:r>
    </w:p>
    <w:p w14:paraId="443EC88D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variação de 4,34% em relação a DEZ/2026 não decorre de aumento de margem nem de reajuste comercial, mas da troca de um tributo por dentro por outro por fora, com alíquotas diferentes.</w:t>
      </w:r>
    </w:p>
    <w:p w14:paraId="37A0B379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Importante: na nova nota fiscal a CBS de R$ 590,58 ficará destacada e gerará crédito integral ao adquirente contribuinte, o que não ocorre com o PIS e a COFINS embutidos no DAS.</w:t>
      </w:r>
    </w:p>
    <w:p w14:paraId="2B11F22A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II.2. Questão de ordem mercadológica</w:t>
      </w:r>
    </w:p>
    <w:p w14:paraId="6A83FA7D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O que a Constituição e a LC 214 determinam</w:t>
      </w:r>
    </w:p>
    <w:p w14:paraId="642D8751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EC 132/2023 estabelece que IBS e CBS serão cobrados “por fora”, com destaque separado do tributo em relação ao preço da operação, que passa a corresponder apenas ao valor do bem ou serviço.</w:t>
      </w:r>
    </w:p>
    <w:p w14:paraId="41AD1C92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 xml:space="preserve">A Lei Complementar 214/2025 e os materiais explicativos do Ministério da Fazenda reforçam essa lógica: </w:t>
      </w:r>
      <w:r>
        <w:rPr>
          <w:rFonts w:ascii="Palatino Linotype" w:hAnsi="Palatino Linotype" w:cs="Palatino Linotype"/>
          <w:i/>
          <w:iCs/>
          <w:sz w:val="24"/>
          <w:szCs w:val="24"/>
        </w:rPr>
        <w:t>base de cálculo é o valor da operação (preço sem o imposto) e o IBS/CBS é calculado sobre essa base, sendo somado no documento fiscal de forma apartada.</w:t>
      </w:r>
    </w:p>
    <w:p w14:paraId="292DE754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O que isso significa para o preço</w:t>
      </w:r>
    </w:p>
    <w:p w14:paraId="611056A2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lastRenderedPageBreak/>
        <w:t>Juridicamente, a regra é de transparência: o fornecedor deve evidenciar o tributo “por fora”; a formação de preço (se repassa integralmente, parcialmente ou absorve parte do imposto) continua sendo decisão empresarial e contratual, e não imposição de repasse automático.</w:t>
      </w:r>
    </w:p>
    <w:p w14:paraId="4AD86BE1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Em outras palavras, a CBS é obrigatoriamente destacada e calculada por fora, mas não existe dispositivo que obrigue o contratante a “aceitar” aumento de preço; o que haverá, na prática, é renegociação e ajuste de política comercial, sob risco econômico para quem não adequar preços à nova carga.</w:t>
      </w:r>
    </w:p>
    <w:p w14:paraId="6BAF6735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questão é o efeito econômico. Vamos a ele.</w:t>
      </w:r>
    </w:p>
    <w:p w14:paraId="43175F9A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II.3. Efeito econômico</w:t>
      </w:r>
    </w:p>
    <w:p w14:paraId="72BB80D1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No exemplo em estudo, partindo do pressuposto de que o novo preço da operação será alterado para R$ 10.433,56, os efeitos para o adquirente serão os seguintes:</w:t>
      </w:r>
    </w:p>
    <w:p w14:paraId="1E49C505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(i) o desembolso financeiro total será de R$ 10.433,56, correspondente ao novo preço da nota fiscal com a CBS destacada por fora;</w:t>
      </w:r>
    </w:p>
    <w:p w14:paraId="0F18044C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(ii) o custo contábil será de R$ 9.842,98, resultado da dedução do crédito de CBS (R$ 10.433,56 − R$ 590,58 = R$ 9.842,98); e</w:t>
      </w:r>
    </w:p>
    <w:p w14:paraId="276982EB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(iii) o crédito de CBS aproveitável pelo adquirente será de R$ 590,58 — valor integralmente destacável na nota fiscal e passível de compensação na apuração do próprio adquirente.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0"/>
        <w:gridCol w:w="2700"/>
        <w:gridCol w:w="2700"/>
      </w:tblGrid>
      <w:tr w:rsidR="004D17E6" w14:paraId="6FB90283" w14:textId="77777777">
        <w:trPr>
          <w:jc w:val="center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5D04AC3" w14:textId="77777777" w:rsidR="004D17E6" w:rsidRDefault="004D17E6">
            <w:pPr>
              <w:spacing w:before="60" w:after="6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2D0E910" w14:textId="77777777" w:rsidR="004D17E6" w:rsidRDefault="00000000">
            <w:pPr>
              <w:spacing w:before="60" w:after="60"/>
              <w:jc w:val="center"/>
            </w:pPr>
            <w:r>
              <w:rPr>
                <w:rFonts w:ascii="Palatino Linotype" w:hAnsi="Palatino Linotype" w:cs="Palatino Linotype"/>
                <w:b/>
                <w:bCs/>
              </w:rPr>
              <w:t>Cenário I — CBS por dentro do DAS (JAN/2027)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389FCED" w14:textId="77777777" w:rsidR="004D17E6" w:rsidRDefault="00000000">
            <w:pPr>
              <w:spacing w:before="60" w:after="60"/>
              <w:jc w:val="center"/>
            </w:pPr>
            <w:r>
              <w:rPr>
                <w:rFonts w:ascii="Palatino Linotype" w:hAnsi="Palatino Linotype" w:cs="Palatino Linotype"/>
                <w:b/>
                <w:bCs/>
              </w:rPr>
              <w:t>Cenário II — CBS por fora do DAS (JAN/2027)</w:t>
            </w:r>
          </w:p>
        </w:tc>
      </w:tr>
      <w:tr w:rsidR="004D17E6" w14:paraId="707ECCAA" w14:textId="77777777">
        <w:trPr>
          <w:jc w:val="center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4371" w14:textId="77777777" w:rsidR="004D17E6" w:rsidRDefault="00000000">
            <w:pPr>
              <w:spacing w:before="60" w:after="60"/>
              <w:jc w:val="left"/>
            </w:pPr>
            <w:r>
              <w:rPr>
                <w:rFonts w:ascii="Palatino Linotype" w:hAnsi="Palatino Linotype" w:cs="Palatino Linotype"/>
              </w:rPr>
              <w:t>Desembolso financeiro total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1674" w14:textId="77777777" w:rsidR="004D17E6" w:rsidRDefault="00000000">
            <w:pPr>
              <w:spacing w:before="60" w:after="60"/>
              <w:jc w:val="center"/>
            </w:pPr>
            <w:r>
              <w:rPr>
                <w:rFonts w:ascii="Palatino Linotype" w:hAnsi="Palatino Linotype" w:cs="Palatino Linotype"/>
              </w:rPr>
              <w:t>R$ 10.000,00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0FCC" w14:textId="77777777" w:rsidR="004D17E6" w:rsidRDefault="00000000">
            <w:pPr>
              <w:spacing w:before="60" w:after="60"/>
              <w:jc w:val="center"/>
            </w:pPr>
            <w:r>
              <w:rPr>
                <w:rFonts w:ascii="Palatino Linotype" w:hAnsi="Palatino Linotype" w:cs="Palatino Linotype"/>
              </w:rPr>
              <w:t>R$ 10.433,56</w:t>
            </w:r>
          </w:p>
        </w:tc>
      </w:tr>
      <w:tr w:rsidR="004D17E6" w14:paraId="522ED20C" w14:textId="77777777">
        <w:trPr>
          <w:jc w:val="center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8181" w14:textId="77777777" w:rsidR="004D17E6" w:rsidRDefault="00000000">
            <w:pPr>
              <w:spacing w:before="60" w:after="60"/>
              <w:jc w:val="left"/>
            </w:pPr>
            <w:r>
              <w:rPr>
                <w:rFonts w:ascii="Palatino Linotype" w:hAnsi="Palatino Linotype" w:cs="Palatino Linotype"/>
              </w:rPr>
              <w:t>(–) Crédito de CBS aproveitável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1358" w14:textId="77777777" w:rsidR="004D17E6" w:rsidRDefault="00000000">
            <w:pPr>
              <w:spacing w:before="60" w:after="60"/>
              <w:jc w:val="center"/>
            </w:pPr>
            <w:r>
              <w:rPr>
                <w:rFonts w:ascii="Palatino Linotype" w:hAnsi="Palatino Linotype" w:cs="Palatino Linotype"/>
              </w:rPr>
              <w:t>R$ 157,02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FCDF" w14:textId="77777777" w:rsidR="004D17E6" w:rsidRDefault="00000000">
            <w:pPr>
              <w:spacing w:before="60" w:after="60"/>
              <w:jc w:val="center"/>
            </w:pPr>
            <w:r>
              <w:rPr>
                <w:rFonts w:ascii="Palatino Linotype" w:hAnsi="Palatino Linotype" w:cs="Palatino Linotype"/>
              </w:rPr>
              <w:t>R$ 590,58</w:t>
            </w:r>
          </w:p>
        </w:tc>
      </w:tr>
      <w:tr w:rsidR="004D17E6" w14:paraId="70E1FC93" w14:textId="77777777">
        <w:trPr>
          <w:jc w:val="center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0ACC" w14:textId="77777777" w:rsidR="004D17E6" w:rsidRDefault="00000000">
            <w:pPr>
              <w:spacing w:before="60" w:after="60"/>
              <w:jc w:val="left"/>
            </w:pPr>
            <w:r>
              <w:rPr>
                <w:rFonts w:ascii="Palatino Linotype" w:hAnsi="Palatino Linotype" w:cs="Palatino Linotype"/>
                <w:b/>
                <w:bCs/>
              </w:rPr>
              <w:lastRenderedPageBreak/>
              <w:t>(=) Custo efetivo do serviço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1849" w14:textId="77777777" w:rsidR="004D17E6" w:rsidRDefault="00000000">
            <w:pPr>
              <w:spacing w:before="60" w:after="60"/>
              <w:jc w:val="center"/>
            </w:pPr>
            <w:r>
              <w:rPr>
                <w:rFonts w:ascii="Palatino Linotype" w:hAnsi="Palatino Linotype" w:cs="Palatino Linotype"/>
                <w:b/>
                <w:bCs/>
              </w:rPr>
              <w:t>R$ 9.842,98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31B" w14:textId="77777777" w:rsidR="004D17E6" w:rsidRDefault="00000000">
            <w:pPr>
              <w:spacing w:before="60" w:after="60"/>
              <w:jc w:val="center"/>
            </w:pPr>
            <w:r>
              <w:rPr>
                <w:rFonts w:ascii="Palatino Linotype" w:hAnsi="Palatino Linotype" w:cs="Palatino Linotype"/>
                <w:b/>
                <w:bCs/>
              </w:rPr>
              <w:t>R$ 9.842,98</w:t>
            </w:r>
          </w:p>
        </w:tc>
      </w:tr>
    </w:tbl>
    <w:p w14:paraId="28A39554" w14:textId="77777777" w:rsidR="004D17E6" w:rsidRDefault="004D17E6"/>
    <w:p w14:paraId="26A49002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comparação revela duas conclusões até esta etapa:</w:t>
      </w:r>
    </w:p>
    <w:p w14:paraId="12356410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(i) o desembolso financeiro do adquirente é maior no Cenário II (R$ 10.433,56) do que no Cenário I (R$ 10.000,00), refletindo a mudança de um tributo por dentro para outro por fora, com alíquota superior;</w:t>
      </w:r>
    </w:p>
    <w:p w14:paraId="254C6A4B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(ii) todavia, o custo contábil efetivo da operação — desembolso menos o crédito de CBS apropriável como ativo — é rigorosamente idêntico em ambos os cenários: R$ 9.842,98. Isso significa que o aumento do preço da nota fiscal é integralmente neutralizado pelo crédito de CBS que o adquirente passa a escriturar, desde que este seja contribuinte do tributo.</w:t>
      </w:r>
    </w:p>
    <w:p w14:paraId="7F9686B9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II.4. CBS a recolher pelo estabelecimento, considerando crédito sobre 40% dos insumos</w:t>
      </w:r>
    </w:p>
    <w:p w14:paraId="4CBB7259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 xml:space="preserve">Adotada a premissa de que o equivalente a 40% dos insumos adquiridos pelo estabelecimento geraria crédito de CBS — 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percentual condizente com a estrutura de custos típica de bares e restaurantes, em que CMV (alimentos e bebidas), embalagens, gás, energia, descartáveis e demais aquisições tributadas pela CBS representam parcela relevante do faturamento </w:t>
      </w:r>
      <w:r>
        <w:rPr>
          <w:rFonts w:ascii="Palatino Linotype" w:hAnsi="Palatino Linotype" w:cs="Palatino Linotype"/>
          <w:sz w:val="24"/>
          <w:szCs w:val="24"/>
        </w:rPr>
        <w:t>—, a apuração do tributo a pagar, em valor líquido, seria como abaixo descrito:</w:t>
      </w:r>
    </w:p>
    <w:p w14:paraId="4E1EA602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sz w:val="24"/>
          <w:szCs w:val="24"/>
        </w:rPr>
        <w:t>CBS débito (sobre a operação): R$ 590,58</w:t>
      </w:r>
    </w:p>
    <w:p w14:paraId="08D3873A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sz w:val="24"/>
          <w:szCs w:val="24"/>
        </w:rPr>
        <w:t>Base de crédito (40% × R$ 10.433,56): R$ 4.173,42</w:t>
      </w:r>
    </w:p>
    <w:p w14:paraId="35F77025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sz w:val="24"/>
          <w:szCs w:val="24"/>
        </w:rPr>
        <w:t>CBS crédito (6% × R$ 4.173,42): R$ 250,41</w:t>
      </w:r>
    </w:p>
    <w:p w14:paraId="70961E7E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b/>
          <w:bCs/>
          <w:sz w:val="24"/>
          <w:szCs w:val="24"/>
        </w:rPr>
        <w:t>CBS a recolher (débito − crédito): R$ 340,17</w:t>
      </w:r>
    </w:p>
    <w:p w14:paraId="4A1CCCEC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Para o Simples Nacional remanescente, retira-se da repartição do Anexo I a parcela destinada a PIS e COFINS (15,50% da repartição).</w:t>
      </w:r>
    </w:p>
    <w:p w14:paraId="4DEE4B08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lastRenderedPageBreak/>
        <w:t>A alíquota efetiva remanescente, aplicável a IRPJ, CSLL, CPP e ICMS, é de 8,5599%. Tomada sobre o preço-base de R$ 9.842,98, resulta em DAS de R$ 842,55.</w:t>
      </w:r>
    </w:p>
    <w:p w14:paraId="49C14ED1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III. Síntese da carga tributária na operação sob a ótica do estabelecimento</w:t>
      </w:r>
    </w:p>
    <w:p w14:paraId="17F98AC2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Dezembro de 2026</w:t>
      </w:r>
    </w:p>
    <w:p w14:paraId="5B4CFE5B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b/>
          <w:bCs/>
          <w:sz w:val="24"/>
          <w:szCs w:val="24"/>
        </w:rPr>
        <w:t>DAS total: R$ 1.013,00</w:t>
      </w:r>
    </w:p>
    <w:p w14:paraId="33C6C6A5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sz w:val="24"/>
          <w:szCs w:val="24"/>
        </w:rPr>
        <w:t>Dos quais PIS + COFINS: R$ 157,02</w:t>
      </w:r>
    </w:p>
    <w:p w14:paraId="6BBF7CC2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Janeiro de 2027</w:t>
      </w:r>
    </w:p>
    <w:p w14:paraId="2C220FFF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sz w:val="24"/>
          <w:szCs w:val="24"/>
        </w:rPr>
        <w:t>DAS (sem PIS/COFINS) — IRPJ, CSLL, CPP e ICMS: R$ 842,55</w:t>
      </w:r>
    </w:p>
    <w:p w14:paraId="31CC644F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sz w:val="24"/>
          <w:szCs w:val="24"/>
        </w:rPr>
        <w:t>CBS líquida a recolher: R$ 340,17</w:t>
      </w:r>
    </w:p>
    <w:p w14:paraId="0930E6CC" w14:textId="77777777" w:rsidR="004D17E6" w:rsidRDefault="00000000">
      <w:pPr>
        <w:spacing w:before="120" w:after="120" w:line="312" w:lineRule="auto"/>
        <w:ind w:left="1134" w:right="1134"/>
      </w:pPr>
      <w:r>
        <w:rPr>
          <w:rFonts w:ascii="Palatino Linotype" w:hAnsi="Palatino Linotype" w:cs="Palatino Linotype"/>
          <w:b/>
          <w:bCs/>
          <w:sz w:val="24"/>
          <w:szCs w:val="24"/>
        </w:rPr>
        <w:t>Carga tributária total: R$ 1.182,72</w:t>
      </w:r>
    </w:p>
    <w:p w14:paraId="3412C726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carga total do estabelecimento sobe de R$ 1.013,00 para R$ 1.182,72, variação nominal de R$ 169,72, que, tomada sobre o valor total da nota fiscal de R$ 10.433,56, representa 1,63% do faturamento da operação.</w:t>
      </w:r>
    </w:p>
    <w:p w14:paraId="4F6EC8A2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O ponto que precisa ser sopesado é a contrapartida no ambiente comercial: enquanto o adquirente, em DEZ/2026, não se credita do PIS e da COFINS embutidos no DAS do Simples, em JAN/2027 ele passa a creditar-se de R$ 590,58 a título de CBS, valor bem superior à elevação de R$ 169,72 verificada na carga do estabelecimento.</w:t>
      </w:r>
    </w:p>
    <w:p w14:paraId="6813C1CC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Há, portanto, espaço para revisão do preço comercial mediante negociação, especialmente em cadeias B2B (eventos corporativos, fornecimento de refeições a empresas, contratos de catering) em que o adquirente é contribuinte e aproveita o crédito. Em operações com consumidor final, o benefício do crédito não se materializa, e o repasse do aumento dependerá das condições de mercado.</w:t>
      </w:r>
    </w:p>
    <w:p w14:paraId="58FE8BDF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IV. Do Regulamento que se conheceu em 27/04/2026</w:t>
      </w:r>
    </w:p>
    <w:p w14:paraId="3848BEE8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lastRenderedPageBreak/>
        <w:t>Em 27/04/2026, foi divulgado, na internet e nos grupos de debate técnico-tributário dos quais este escritório participa, texto preliminar do regulamento da CBS que se acredita estar muito próximo da redação que será oficialmente publicada.</w:t>
      </w:r>
    </w:p>
    <w:p w14:paraId="59D09C67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expectativa é de que a publicação oficial ocorra até 30/04/2026, prazo necessário para que o regulamento possa produzir efeitos a contar de 1º/08/2026, observada a anterioridade aplicável.</w:t>
      </w:r>
    </w:p>
    <w:p w14:paraId="330CF841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Embora ainda não se cuide de norma vigente, o material em circulação tem sido tomado como referência de trabalho por contadores, tributaristas e bancas especializadas, sobretudo no que se refere aos percentuais de repartição do DAS para fins de IBS/CBS, à forma de destaque na nota fiscal e à mecânica de escrituração do crédito pelo adquirente.</w:t>
      </w:r>
    </w:p>
    <w:p w14:paraId="139CB17A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Os números e premissas adotados neste parecer refletem a leitura desse texto preliminar, ressalvada a possibilidade de alterações pontuais até a publicação definitiva.</w:t>
      </w:r>
    </w:p>
    <w:p w14:paraId="7D516351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A seguir, em formato objetivo, os principais pontos dos arts. 396 a 410 do texto preliminar (Capítulo VII — Dos Bares, Restaurantes, Hotelaria, Parques de Diversão e Parques Temáticos, Transporte Coletivo de Passageiros e Agências de Turismo):</w:t>
      </w:r>
    </w:p>
    <w:p w14:paraId="365C1E00" w14:textId="77777777" w:rsidR="004D17E6" w:rsidRDefault="00000000">
      <w:pPr>
        <w:spacing w:before="180" w:after="60" w:line="312" w:lineRule="auto"/>
      </w:pPr>
      <w:r>
        <w:rPr>
          <w:rFonts w:ascii="Palatino Linotype" w:hAnsi="Palatino Linotype" w:cs="Palatino Linotype"/>
          <w:b/>
          <w:bCs/>
          <w:sz w:val="24"/>
          <w:szCs w:val="24"/>
        </w:rPr>
        <w:t>Seção I — Dos Bares e Restaurantes (arts. 396 a 401)</w:t>
      </w:r>
    </w:p>
    <w:p w14:paraId="06F7BE58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396 — institui regime específico de IBS para o fornecimento de alimentação e bebidas não alcoólicas preparadas e manipuladas no próprio estabelecimento, alcançando bares, restaurantes, lanchonetes, pastelarias, padarias, casas de chá, casas de sucos, casas de doces e salgados, cafeterias, sorveterias e similares; o regime não se aplica a bebidas não alcoólicas industrializadas, ainda que combinadas com outras dentro do estabelecimento.</w:t>
      </w:r>
    </w:p>
    <w:p w14:paraId="694DEF5D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397 — ficam fora do regime específico: (i) alimentação fornecida a pessoa jurídica sob contrato (NBS 1.0301.31.00, 1.0301.32.00 e 1.0301.39.00, ou empresa CNAE 5620-1/01); (ii) produtos adquiridos de terceiros sem preparo no estabelecimento; e (iii) bebidas alcoólicas, ainda que preparadas no local.</w:t>
      </w:r>
    </w:p>
    <w:p w14:paraId="6DE4A1DE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398 — o documento fiscal deve segregar os valores sujeitos ao regime específico daqueles do regime geral; sem segregação, o valor total da operação é tributado pelo regime geral do IBS.</w:t>
      </w:r>
    </w:p>
    <w:p w14:paraId="7722AEBE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lastRenderedPageBreak/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399 — base de cálculo: valor da operação. Excluem-se: (i) a gorjeta integralmente repassada ao empregado, limitada a 15% do total do fornecimento; e (ii) os valores não repassados ao bar/restaurante por plataforma digital de entrega ou intermediação. As exclusões dependem de segregação no documento fiscal; sem segregação, a base é o valor total.</w:t>
      </w:r>
    </w:p>
    <w:p w14:paraId="08969AD9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400 — alíquota do IBS reduzida em 40% para as operações do regime específico.</w:t>
      </w:r>
    </w:p>
    <w:p w14:paraId="14BF38FF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 xml:space="preserve">Art. 401 — </w:t>
      </w:r>
      <w:r>
        <w:rPr>
          <w:rFonts w:ascii="Palatino Linotype" w:hAnsi="Palatino Linotype" w:cs="Palatino Linotype"/>
          <w:b/>
          <w:bCs/>
          <w:sz w:val="24"/>
          <w:szCs w:val="24"/>
        </w:rPr>
        <w:t>vedada a apropriação de créditos de IBS pelos adquirentes</w:t>
      </w:r>
      <w:r>
        <w:rPr>
          <w:rFonts w:ascii="Palatino Linotype" w:hAnsi="Palatino Linotype" w:cs="Palatino Linotype"/>
          <w:sz w:val="24"/>
          <w:szCs w:val="24"/>
        </w:rPr>
        <w:t xml:space="preserve"> de alimentação e bebidas no regime específico. Este ponto, na medida em que venha a ter redação paralela no texto da CBS, repercute diretamente sobre o crédito ao adquirente discutido nos itens II.3 e II.4 deste parecer e deve ser revisitado quando da publicação definitiva.</w:t>
      </w:r>
    </w:p>
    <w:p w14:paraId="06FA5107" w14:textId="77777777" w:rsidR="004D17E6" w:rsidRDefault="00000000">
      <w:pPr>
        <w:spacing w:before="180" w:after="60" w:line="312" w:lineRule="auto"/>
      </w:pPr>
      <w:r>
        <w:rPr>
          <w:rFonts w:ascii="Palatino Linotype" w:hAnsi="Palatino Linotype" w:cs="Palatino Linotype"/>
          <w:b/>
          <w:bCs/>
          <w:sz w:val="24"/>
          <w:szCs w:val="24"/>
        </w:rPr>
        <w:t>Seção II — Da Hotelaria, Parques de Diversão e Parques Temáticos (arts. 402 a 407)</w:t>
      </w:r>
    </w:p>
    <w:p w14:paraId="4C032A79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402 — institui regime específico de IBS para os serviços de hotelaria, parques de diversão e parques temáticos.</w:t>
      </w:r>
    </w:p>
    <w:p w14:paraId="30812EE3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403 — base de cálculo: valor da operação. O fornecimento de alimentação e bebidas por esses estabelecimentos observa as regras do regime específico de bares e restaurantes.</w:t>
      </w:r>
    </w:p>
    <w:p w14:paraId="66F08684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404 — o documento fiscal deve segregar os valores por itens de fornecimento, para identificação do correto enquadramento.</w:t>
      </w:r>
    </w:p>
    <w:p w14:paraId="34655DCE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405 — alíquota do IBS reduzida em 40%.</w:t>
      </w:r>
    </w:p>
    <w:p w14:paraId="2FCC783C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406 — permitida a apropriação e a utilização de créditos de IBS sobre as aquisições pelos prestadores desses serviços, observados os arts. 47 a 61 do Regulamento.</w:t>
      </w:r>
    </w:p>
    <w:p w14:paraId="522D6BD0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407 — vedada a apropriação de créditos de IBS pelo adquirente dos serviços de hotelaria, parques de diversão e parques temáticos.</w:t>
      </w:r>
    </w:p>
    <w:p w14:paraId="338DF87C" w14:textId="77777777" w:rsidR="004D17E6" w:rsidRDefault="00000000">
      <w:pPr>
        <w:spacing w:before="180" w:after="60" w:line="312" w:lineRule="auto"/>
      </w:pPr>
      <w:r>
        <w:rPr>
          <w:rFonts w:ascii="Palatino Linotype" w:hAnsi="Palatino Linotype" w:cs="Palatino Linotype"/>
          <w:b/>
          <w:bCs/>
          <w:sz w:val="24"/>
          <w:szCs w:val="24"/>
        </w:rPr>
        <w:t>Subseção I — Dos Serviços de Hotelaria (arts. 408 a 410)</w:t>
      </w:r>
    </w:p>
    <w:p w14:paraId="6882726E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lastRenderedPageBreak/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408 — define serviço de hotelaria como alojamento temporário, e demais serviços incluídos no valor da hospedagem, prestado em (i) unidades de uso exclusivo dos hóspedes (hotéis, motéis, resorts, pousadas, pensões, hospedarias, casas de cômodos, flats, apart-hotéis, suite service, condo-hotéis, hotel-residência e albergues, inclusive na modalidade day use); ou (ii) imóvel residencial mobiliado, ainda que de uso não exclusivo. A divisão do empreendimento em unidades hoteleiras autônomas, com destinação funcional exclusiva de hospedagem, não descaracteriza o serviço.</w:t>
      </w:r>
    </w:p>
    <w:p w14:paraId="6F6CC771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409 — compõem a base de cálculo outros serviços incluídos no valor da hospedagem, tais como estacionamento, lavanderia e limpeza adicional.</w:t>
      </w:r>
    </w:p>
    <w:p w14:paraId="3B2C1FF4" w14:textId="77777777" w:rsidR="004D17E6" w:rsidRDefault="00000000">
      <w:pPr>
        <w:spacing w:before="60" w:after="60" w:line="288" w:lineRule="auto"/>
        <w:ind w:left="720" w:hanging="360"/>
      </w:pPr>
      <w:r>
        <w:rPr>
          <w:rFonts w:ascii="Palatino Linotype" w:hAnsi="Palatino Linotype" w:cs="Palatino Linotype"/>
          <w:sz w:val="24"/>
          <w:szCs w:val="24"/>
        </w:rPr>
        <w:t>•</w:t>
      </w:r>
      <w:r>
        <w:rPr>
          <w:rFonts w:ascii="Palatino Linotype" w:hAnsi="Palatino Linotype" w:cs="Palatino Linotype"/>
          <w:sz w:val="24"/>
          <w:szCs w:val="24"/>
        </w:rPr>
        <w:tab/>
        <w:t>Art. 410 — a locação, cessão onerosa ou arrendamento de bem imóvel residencial, por contribuinte do regime regular do IBS, por período não superior a 90 dias ininterruptos, sujeita-se às regras de hotelaria; identificada a condição de contribuinte (art. 382), o fornecedor deverá emitir o documento fiscal.</w:t>
      </w:r>
    </w:p>
    <w:p w14:paraId="26D2AEAE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Quadro-resumo comparativo</w:t>
      </w:r>
    </w:p>
    <w:p w14:paraId="7B841748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Consolidam-se a seguir, em formato objetivo, os principais números dos dois cenários estudados, com base na operação-tipo de R$ 10.000,00 emitida pelo bar/restaurante optante do Simples Nacional, Anexo I, faturamento mensal de R$ 200.000,00 (RBT12 de R$ 2.400.000,00):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0"/>
        <w:gridCol w:w="2820"/>
        <w:gridCol w:w="2820"/>
      </w:tblGrid>
      <w:tr w:rsidR="004D17E6" w14:paraId="1F117C46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7E2FB4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F8BA53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b/>
                <w:bCs/>
                <w:color w:val="FFFFFF"/>
                <w:sz w:val="20"/>
                <w:szCs w:val="20"/>
              </w:rPr>
              <w:t>Cenário I — CBS por dentro do DAS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10C2E3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b/>
                <w:bCs/>
                <w:color w:val="FFFFFF"/>
                <w:sz w:val="20"/>
                <w:szCs w:val="20"/>
              </w:rPr>
              <w:t>Cenário II — CBS por fora do DAS</w:t>
            </w:r>
          </w:p>
        </w:tc>
      </w:tr>
      <w:tr w:rsidR="004D17E6" w14:paraId="34DFE382" w14:textId="77777777">
        <w:trPr>
          <w:jc w:val="center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D93C01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Premissas</w:t>
            </w:r>
          </w:p>
        </w:tc>
      </w:tr>
      <w:tr w:rsidR="004D17E6" w14:paraId="641894E8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27B058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Faturamento anual (RBT12)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A4E9B2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R$ 2.400.000,00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A647AC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R$ 2.400.000,00</w:t>
            </w:r>
          </w:p>
        </w:tc>
      </w:tr>
      <w:tr w:rsidR="004D17E6" w14:paraId="66053C40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15790D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Faturamento mensal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D1A95C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R$ 200.000,00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5B0CC1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R$ 200.000,00</w:t>
            </w:r>
          </w:p>
        </w:tc>
      </w:tr>
      <w:tr w:rsidR="004D17E6" w14:paraId="2A357D6C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E551EB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Anexo / faixa do Simples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848914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Anexo I — 5ª faixa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8B7C89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Anexo I — 5ª faixa</w:t>
            </w:r>
          </w:p>
        </w:tc>
      </w:tr>
      <w:tr w:rsidR="004D17E6" w14:paraId="2D1E11EB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19500E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Alíquota nominal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10F4A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14,30%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545A6E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14,30%</w:t>
            </w:r>
          </w:p>
        </w:tc>
      </w:tr>
      <w:tr w:rsidR="004D17E6" w14:paraId="21EDBAE1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A223AF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lastRenderedPageBreak/>
              <w:t>Alíquota efetiva total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FDD11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10,13%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10D5F9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10,13%</w:t>
            </w:r>
          </w:p>
        </w:tc>
      </w:tr>
      <w:tr w:rsidR="004D17E6" w14:paraId="06C4D310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270229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Alíquota efetiva remanescente (sem PIS/COFINS)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8AB01E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9344D8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8,5599%</w:t>
            </w:r>
          </w:p>
        </w:tc>
      </w:tr>
      <w:tr w:rsidR="004D17E6" w14:paraId="382804C0" w14:textId="77777777">
        <w:trPr>
          <w:jc w:val="center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E1AFF4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Operação examinada</w:t>
            </w:r>
          </w:p>
        </w:tc>
      </w:tr>
      <w:tr w:rsidR="004D17E6" w14:paraId="07C857EA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4AFCCF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Valor de saída ao cliente em DEZ/2026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D180D8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R$ 10.000,00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48AAAC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R$ 10.000,00</w:t>
            </w:r>
          </w:p>
        </w:tc>
      </w:tr>
      <w:tr w:rsidR="004D17E6" w14:paraId="3D07093F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E14DCD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Preço-base após retirada de PIS/COFINS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72883C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1730A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R$ 9.842,98</w:t>
            </w:r>
          </w:p>
        </w:tc>
      </w:tr>
      <w:tr w:rsidR="004D17E6" w14:paraId="6E11B418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FA7BB8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CBS destacada por fora (6% × preço-base)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6926C6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01471C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R$ 590,58</w:t>
            </w:r>
          </w:p>
        </w:tc>
      </w:tr>
      <w:tr w:rsidR="004D17E6" w14:paraId="437F0332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36DC07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Valor da NF em JAN/2027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3D42F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R$ 10.000,00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0FC82B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R$ 10.433,56</w:t>
            </w:r>
          </w:p>
        </w:tc>
      </w:tr>
      <w:tr w:rsidR="004D17E6" w14:paraId="78A11777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A6C61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Variação do valor da NF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0CAF8F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B7F790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+4,34%</w:t>
            </w:r>
          </w:p>
        </w:tc>
      </w:tr>
      <w:tr w:rsidR="004D17E6" w14:paraId="55EF094C" w14:textId="77777777">
        <w:trPr>
          <w:jc w:val="center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E2D5C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Apuração da CBS líquida (crédito sobre 40% dos insumos)</w:t>
            </w:r>
          </w:p>
        </w:tc>
      </w:tr>
      <w:tr w:rsidR="004D17E6" w14:paraId="6321989A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49182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CBS débito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8F0D75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040432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R$ 590,58</w:t>
            </w:r>
          </w:p>
        </w:tc>
      </w:tr>
      <w:tr w:rsidR="004D17E6" w14:paraId="7D9F2361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E82CC1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Base de crédito (40% × NF)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9B5AA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B1487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R$ 4.173,42</w:t>
            </w:r>
          </w:p>
        </w:tc>
      </w:tr>
      <w:tr w:rsidR="004D17E6" w14:paraId="0CD61FBF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1D441C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CBS crédito (6% × base)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CADA63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28D73D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R$ 250,41</w:t>
            </w:r>
          </w:p>
        </w:tc>
      </w:tr>
      <w:tr w:rsidR="004D17E6" w14:paraId="3705BF1C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C9B1C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CBS líquida a recolher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2747E7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FE54BE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R$ 340,17</w:t>
            </w:r>
          </w:p>
        </w:tc>
      </w:tr>
      <w:tr w:rsidR="004D17E6" w14:paraId="6BBD4A0D" w14:textId="77777777">
        <w:trPr>
          <w:jc w:val="center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176F3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Carga tributária do estabelecimento</w:t>
            </w:r>
          </w:p>
        </w:tc>
      </w:tr>
      <w:tr w:rsidR="004D17E6" w14:paraId="0C5E0CC2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CEC5A3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DAS total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80F43A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R$ 1.013,00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63222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R$ 842,55 (remanescente)</w:t>
            </w:r>
          </w:p>
        </w:tc>
      </w:tr>
      <w:tr w:rsidR="004D17E6" w14:paraId="77B3BBB0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1C301E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PIS + COFINS embutidos / CBS dentro do DAS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6EA6DF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R$ 157,02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0486C9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</w:tr>
      <w:tr w:rsidR="004D17E6" w14:paraId="2FDEA6FC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433B7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lastRenderedPageBreak/>
              <w:t>CBS líquida a recolher (regime regular)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B0D928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87C007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R$ 340,17</w:t>
            </w:r>
          </w:p>
        </w:tc>
      </w:tr>
      <w:tr w:rsidR="004D17E6" w14:paraId="2C524DA9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B8CE3E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Carga tributária total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CCD8F2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R$ 1.013,00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AB8D24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R$ 1.182,72</w:t>
            </w:r>
          </w:p>
        </w:tc>
      </w:tr>
      <w:tr w:rsidR="004D17E6" w14:paraId="5E70264F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7A0CFB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Variação nominal vs Cenário 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50E90E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978E8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+R$ 169,72</w:t>
            </w:r>
          </w:p>
        </w:tc>
      </w:tr>
      <w:tr w:rsidR="004D17E6" w14:paraId="2485743A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A9039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% sobre o valor da NF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BA748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—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4D676C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1,63%</w:t>
            </w:r>
          </w:p>
        </w:tc>
      </w:tr>
      <w:tr w:rsidR="004D17E6" w14:paraId="5F088A92" w14:textId="77777777">
        <w:trPr>
          <w:jc w:val="center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C88E51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Posição do adquirente contribuinte</w:t>
            </w:r>
          </w:p>
        </w:tc>
      </w:tr>
      <w:tr w:rsidR="004D17E6" w14:paraId="13334E6A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B8F860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Desembolso financeiro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1D65F4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R$ 10.000,00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CE468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R$ 10.433,56</w:t>
            </w:r>
          </w:p>
        </w:tc>
      </w:tr>
      <w:tr w:rsidR="004D17E6" w14:paraId="5688F1D8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3E9E3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Crédito de CBS aproveitável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4077D7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R$ 157,02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424CCC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R$ 590,58</w:t>
            </w:r>
          </w:p>
        </w:tc>
      </w:tr>
      <w:tr w:rsidR="004D17E6" w14:paraId="04EE633C" w14:textId="77777777">
        <w:trPr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B2CD19" w14:textId="77777777" w:rsidR="004D17E6" w:rsidRDefault="00000000">
            <w:pPr>
              <w:spacing w:before="20" w:after="20"/>
              <w:jc w:val="left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Custo contábil efetivo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732BED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R$ 9.842,98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68CF88" w14:textId="77777777" w:rsidR="004D17E6" w:rsidRDefault="00000000">
            <w:pPr>
              <w:spacing w:before="20" w:after="20"/>
              <w:jc w:val="center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R$ 9.842,98</w:t>
            </w:r>
          </w:p>
        </w:tc>
      </w:tr>
    </w:tbl>
    <w:p w14:paraId="4861AB92" w14:textId="77777777" w:rsidR="004D17E6" w:rsidRDefault="004D17E6"/>
    <w:p w14:paraId="65FFD169" w14:textId="77777777" w:rsidR="004D17E6" w:rsidRDefault="00000000">
      <w:pPr>
        <w:spacing w:after="120"/>
      </w:pPr>
      <w:r>
        <w:rPr>
          <w:rFonts w:ascii="Palatino Linotype" w:hAnsi="Palatino Linotype" w:cs="Palatino Linotype"/>
          <w:b/>
          <w:bCs/>
          <w:sz w:val="26"/>
          <w:szCs w:val="26"/>
        </w:rPr>
        <w:t>V. Conclusão</w:t>
      </w:r>
    </w:p>
    <w:p w14:paraId="22118D07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Para o bar ou restaurante optante pelo Simples Nacional, Anexo I, com faturamento anual de R$ 2.400.000,00, a operação de R$ 10.000,00 emitida em DEZ/2026 gera DAS de R$ 1.013,00, dos quais R$ 157,02 correspondem a PIS e COFINS calculados por dentro. Caso o contribuinte opte por permanecer no regime unificado (CBS por dentro do DAS), a partir de JAN/2027 o DAS permanece inalterado em R$ 1.013,00, e o crédito transferido ao adquirente limita-se a R$ 157,02, resultando em custo contábil efetivo de R$ 9.842,98 para o tomador.</w:t>
      </w:r>
    </w:p>
    <w:p w14:paraId="165BFDE4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Optando pelo regime regular da CBS (por fora do DAS), a mesma operação em JAN/2027 exige a recomposição do preço para R$ 10.433,56, com CBS de R$ 590,58 destacada na nota fiscal. O desembolso do adquirente sobe para R$ 10.433,56, porém o crédito integral de R$ 590,58 reduz o custo contábil efetivo ao mesmo patamar de R$ 9.842,98 observado no cenário por dentro — a elevação do preço é integralmente neutralizada pelo crédito, desde que o adquirente seja contribuinte.</w:t>
      </w:r>
    </w:p>
    <w:p w14:paraId="6227DE15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lastRenderedPageBreak/>
        <w:t>Sob a ótica do estabelecimento, considerado crédito de CBS sobre 40% dos insumos, a CBS líquida a recolher é de R$ 340,17. Somada ao DAS remanescente de R$ 842,55, a carga tributária total alcança R$ 1.182,72 — variação nominal de R$ 169,72, equivalente a 1,63% do valor total da nota fiscal de R$ 10.433,56.</w:t>
      </w:r>
    </w:p>
    <w:p w14:paraId="2E7FA5B2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Em ambos os cenários, a CBS gera crédito ao adquirente contribuinte — de R$ 157,02 no regime por dentro e de R$ 590,58 no regime por fora —, fato que pode ser considerado em eventual renegociação comercial do preço. Vale observar, contudo, que parte expressiva do faturamento de bares e restaurantes provém de operações com consumidor final, hipótese em que o crédito não é aproveitado e o ônus do acréscimo recai integralmente sobre o adquirente ou é absorvido pelo estabelecimento. A alíquota de 6% adotada é hipótese de trabalho; a definição final virá em regulamentação específica e poderá alterar significativamente os cálculos apresentados. Os pontos operacionais relativos ao destaque na nota fiscal e à escrituração do crédito pelo adquirente permanecem pendentes de regulamentação.</w:t>
      </w:r>
    </w:p>
    <w:p w14:paraId="72045DE0" w14:textId="77777777" w:rsidR="004D17E6" w:rsidRDefault="00000000">
      <w:pPr>
        <w:spacing w:before="120" w:after="120" w:line="312" w:lineRule="auto"/>
        <w:ind w:firstLine="567"/>
      </w:pPr>
      <w:r>
        <w:rPr>
          <w:rFonts w:ascii="Palatino Linotype" w:hAnsi="Palatino Linotype" w:cs="Palatino Linotype"/>
          <w:sz w:val="24"/>
          <w:szCs w:val="24"/>
        </w:rPr>
        <w:t>Permanecemos à disposição para esclarecimentos adicionais que a consulente entender pertinentes.</w:t>
      </w:r>
    </w:p>
    <w:p w14:paraId="2C924DC4" w14:textId="77777777" w:rsidR="004D17E6" w:rsidRDefault="00000000">
      <w:pPr>
        <w:spacing w:before="120" w:after="120" w:line="312" w:lineRule="auto"/>
      </w:pPr>
      <w:r>
        <w:rPr>
          <w:rFonts w:ascii="Palatino Linotype" w:hAnsi="Palatino Linotype" w:cs="Palatino Linotype"/>
          <w:sz w:val="24"/>
          <w:szCs w:val="24"/>
        </w:rPr>
        <w:t>Atenciosamente,</w:t>
      </w:r>
    </w:p>
    <w:p w14:paraId="03BE278E" w14:textId="77777777" w:rsidR="004D17E6" w:rsidRDefault="004D17E6"/>
    <w:p w14:paraId="310033C6" w14:textId="77777777" w:rsidR="004D17E6" w:rsidRDefault="004D17E6"/>
    <w:p w14:paraId="6FCF0DD1" w14:textId="77777777" w:rsidR="004D17E6" w:rsidRDefault="00000000">
      <w:pPr>
        <w:spacing w:before="40" w:after="40"/>
        <w:jc w:val="center"/>
      </w:pPr>
      <w:r>
        <w:rPr>
          <w:rFonts w:ascii="Palatino Linotype" w:hAnsi="Palatino Linotype" w:cs="Palatino Linotype"/>
          <w:b/>
          <w:bCs/>
          <w:sz w:val="26"/>
          <w:szCs w:val="26"/>
        </w:rPr>
        <w:t>Piraci Oliveira</w:t>
      </w:r>
    </w:p>
    <w:p w14:paraId="7551F16D" w14:textId="77777777" w:rsidR="004D17E6" w:rsidRDefault="00000000">
      <w:pPr>
        <w:spacing w:before="40" w:after="40"/>
        <w:jc w:val="center"/>
      </w:pPr>
      <w:r>
        <w:rPr>
          <w:rFonts w:ascii="Palatino Linotype" w:hAnsi="Palatino Linotype" w:cs="Palatino Linotype"/>
          <w:b/>
          <w:bCs/>
          <w:sz w:val="24"/>
          <w:szCs w:val="24"/>
        </w:rPr>
        <w:t>OAB/SP 200.270</w:t>
      </w:r>
    </w:p>
    <w:sectPr w:rsidR="004D17E6" w:rsidSect="00731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3" w:right="1418" w:bottom="1418" w:left="1134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04E5" w14:textId="77777777" w:rsidR="005F3048" w:rsidRDefault="005F3048" w:rsidP="009F6E62">
      <w:pPr>
        <w:spacing w:after="0" w:line="240" w:lineRule="auto"/>
      </w:pPr>
      <w:r>
        <w:separator/>
      </w:r>
    </w:p>
  </w:endnote>
  <w:endnote w:type="continuationSeparator" w:id="0">
    <w:p w14:paraId="501FB2E3" w14:textId="77777777" w:rsidR="005F3048" w:rsidRDefault="005F3048" w:rsidP="009F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7004" w14:textId="77777777" w:rsidR="003F0F61" w:rsidRDefault="003F0F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8176" w14:textId="77777777" w:rsidR="0074438C" w:rsidRPr="00B91068" w:rsidRDefault="00BB79C6" w:rsidP="0074438C">
    <w:pPr>
      <w:pStyle w:val="Rodap"/>
      <w:jc w:val="center"/>
      <w:rPr>
        <w:sz w:val="18"/>
        <w:szCs w:val="18"/>
      </w:rPr>
    </w:pPr>
    <w:proofErr w:type="spellStart"/>
    <w:r>
      <w:rPr>
        <w:sz w:val="18"/>
        <w:szCs w:val="18"/>
      </w:rPr>
      <w:t>Av</w:t>
    </w:r>
    <w:proofErr w:type="spellEnd"/>
    <w:r w:rsidR="00CE7FE3">
      <w:rPr>
        <w:sz w:val="18"/>
        <w:szCs w:val="18"/>
      </w:rPr>
      <w:t>;</w:t>
    </w:r>
    <w:r>
      <w:rPr>
        <w:sz w:val="18"/>
        <w:szCs w:val="18"/>
      </w:rPr>
      <w:t xml:space="preserve"> Marquês de São Vicente, 2219, Conj </w:t>
    </w:r>
    <w:proofErr w:type="gramStart"/>
    <w:r>
      <w:rPr>
        <w:sz w:val="18"/>
        <w:szCs w:val="18"/>
      </w:rPr>
      <w:t>216  -</w:t>
    </w:r>
    <w:proofErr w:type="gramEnd"/>
    <w:r>
      <w:rPr>
        <w:sz w:val="18"/>
        <w:szCs w:val="18"/>
      </w:rPr>
      <w:t xml:space="preserve"> </w:t>
    </w:r>
    <w:r w:rsidR="0074438C" w:rsidRPr="00B91068"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>Agua</w:t>
    </w:r>
    <w:proofErr w:type="gramEnd"/>
    <w:r>
      <w:rPr>
        <w:sz w:val="18"/>
        <w:szCs w:val="18"/>
      </w:rPr>
      <w:t xml:space="preserve"> Branca</w:t>
    </w:r>
    <w:r w:rsidR="0074438C" w:rsidRPr="00B91068">
      <w:rPr>
        <w:sz w:val="18"/>
        <w:szCs w:val="18"/>
      </w:rPr>
      <w:t xml:space="preserve"> </w:t>
    </w:r>
    <w:r>
      <w:rPr>
        <w:sz w:val="18"/>
        <w:szCs w:val="18"/>
      </w:rPr>
      <w:t>-</w:t>
    </w:r>
    <w:r w:rsidR="0074438C" w:rsidRPr="00B91068">
      <w:rPr>
        <w:sz w:val="18"/>
        <w:szCs w:val="18"/>
      </w:rPr>
      <w:t xml:space="preserve"> </w:t>
    </w:r>
    <w:r>
      <w:rPr>
        <w:sz w:val="18"/>
        <w:szCs w:val="18"/>
      </w:rPr>
      <w:t>05036-</w:t>
    </w:r>
    <w:proofErr w:type="gramStart"/>
    <w:r>
      <w:rPr>
        <w:sz w:val="18"/>
        <w:szCs w:val="18"/>
      </w:rPr>
      <w:t>040</w:t>
    </w:r>
    <w:r w:rsidR="0074438C" w:rsidRPr="00B91068">
      <w:rPr>
        <w:sz w:val="18"/>
        <w:szCs w:val="18"/>
      </w:rPr>
      <w:t xml:space="preserve">  São</w:t>
    </w:r>
    <w:proofErr w:type="gramEnd"/>
    <w:r w:rsidR="0074438C" w:rsidRPr="00B91068">
      <w:rPr>
        <w:sz w:val="18"/>
        <w:szCs w:val="18"/>
      </w:rPr>
      <w:t xml:space="preserve"> </w:t>
    </w:r>
    <w:proofErr w:type="gramStart"/>
    <w:r w:rsidR="0074438C" w:rsidRPr="00B91068">
      <w:rPr>
        <w:sz w:val="18"/>
        <w:szCs w:val="18"/>
      </w:rPr>
      <w:t>Paulo  SP</w:t>
    </w:r>
    <w:proofErr w:type="gramEnd"/>
    <w:r w:rsidR="0074438C" w:rsidRPr="00B91068">
      <w:rPr>
        <w:sz w:val="18"/>
        <w:szCs w:val="18"/>
      </w:rPr>
      <w:t xml:space="preserve">   tel</w:t>
    </w:r>
    <w:r w:rsidR="00C13CD0">
      <w:rPr>
        <w:sz w:val="18"/>
        <w:szCs w:val="18"/>
      </w:rPr>
      <w:t>.</w:t>
    </w:r>
    <w:r w:rsidR="00CE7FE3">
      <w:rPr>
        <w:sz w:val="18"/>
        <w:szCs w:val="18"/>
      </w:rPr>
      <w:t>;</w:t>
    </w:r>
    <w:r w:rsidR="0074438C" w:rsidRPr="00B91068">
      <w:rPr>
        <w:sz w:val="18"/>
        <w:szCs w:val="18"/>
      </w:rPr>
      <w:t xml:space="preserve"> +55 11 </w:t>
    </w:r>
    <w:r>
      <w:rPr>
        <w:sz w:val="18"/>
        <w:szCs w:val="18"/>
      </w:rPr>
      <w:t>3318-34-</w:t>
    </w:r>
    <w:proofErr w:type="gramStart"/>
    <w:r>
      <w:rPr>
        <w:sz w:val="18"/>
        <w:szCs w:val="18"/>
      </w:rPr>
      <w:t>00</w:t>
    </w:r>
    <w:r w:rsidR="0074438C" w:rsidRPr="00B91068">
      <w:rPr>
        <w:sz w:val="18"/>
        <w:szCs w:val="18"/>
      </w:rPr>
      <w:t xml:space="preserve">  piraci@piraci.com.br</w:t>
    </w:r>
    <w:proofErr w:type="gramEnd"/>
    <w:r w:rsidR="0074438C" w:rsidRPr="00B91068">
      <w:rPr>
        <w:sz w:val="18"/>
        <w:szCs w:val="18"/>
      </w:rPr>
      <w:t xml:space="preserve"> </w:t>
    </w:r>
    <w:r w:rsidR="00D3580B">
      <w:rPr>
        <w:sz w:val="18"/>
        <w:szCs w:val="18"/>
      </w:rPr>
      <w:t>-</w:t>
    </w:r>
    <w:r w:rsidR="0074438C" w:rsidRPr="00B91068">
      <w:rPr>
        <w:sz w:val="18"/>
        <w:szCs w:val="18"/>
      </w:rPr>
      <w:t xml:space="preserve"> www.piraci</w:t>
    </w:r>
    <w:r w:rsidR="00D3580B">
      <w:rPr>
        <w:sz w:val="18"/>
        <w:szCs w:val="18"/>
      </w:rPr>
      <w:t>.com.br</w:t>
    </w:r>
  </w:p>
  <w:p w14:paraId="5F98870C" w14:textId="77777777" w:rsidR="0074438C" w:rsidRDefault="007443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89AD" w14:textId="77777777" w:rsidR="0074438C" w:rsidRPr="00B91068" w:rsidRDefault="00BB79C6" w:rsidP="0074438C">
    <w:pPr>
      <w:pStyle w:val="Rodap"/>
      <w:jc w:val="center"/>
      <w:rPr>
        <w:sz w:val="18"/>
        <w:szCs w:val="18"/>
      </w:rPr>
    </w:pPr>
    <w:proofErr w:type="spellStart"/>
    <w:r>
      <w:rPr>
        <w:sz w:val="18"/>
        <w:szCs w:val="18"/>
      </w:rPr>
      <w:t>Av</w:t>
    </w:r>
    <w:proofErr w:type="spellEnd"/>
    <w:r w:rsidR="00CE7FE3">
      <w:rPr>
        <w:sz w:val="18"/>
        <w:szCs w:val="18"/>
      </w:rPr>
      <w:t>;</w:t>
    </w:r>
    <w:r>
      <w:rPr>
        <w:sz w:val="18"/>
        <w:szCs w:val="18"/>
      </w:rPr>
      <w:t xml:space="preserve"> Marquês de São Vicente, 2219, Conj </w:t>
    </w:r>
    <w:proofErr w:type="gramStart"/>
    <w:r>
      <w:rPr>
        <w:sz w:val="18"/>
        <w:szCs w:val="18"/>
      </w:rPr>
      <w:t>216  -</w:t>
    </w:r>
    <w:proofErr w:type="gramEnd"/>
    <w:r>
      <w:rPr>
        <w:sz w:val="18"/>
        <w:szCs w:val="18"/>
      </w:rPr>
      <w:t xml:space="preserve"> </w:t>
    </w:r>
    <w:r w:rsidR="0074438C" w:rsidRPr="00B91068"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>Agua</w:t>
    </w:r>
    <w:proofErr w:type="gramEnd"/>
    <w:r>
      <w:rPr>
        <w:sz w:val="18"/>
        <w:szCs w:val="18"/>
      </w:rPr>
      <w:t xml:space="preserve"> Branca</w:t>
    </w:r>
    <w:r w:rsidR="0074438C" w:rsidRPr="00B91068">
      <w:rPr>
        <w:sz w:val="18"/>
        <w:szCs w:val="18"/>
      </w:rPr>
      <w:t xml:space="preserve"> </w:t>
    </w:r>
    <w:r>
      <w:rPr>
        <w:sz w:val="18"/>
        <w:szCs w:val="18"/>
      </w:rPr>
      <w:t>-</w:t>
    </w:r>
    <w:r w:rsidR="0074438C" w:rsidRPr="00B91068">
      <w:rPr>
        <w:sz w:val="18"/>
        <w:szCs w:val="18"/>
      </w:rPr>
      <w:t xml:space="preserve"> </w:t>
    </w:r>
    <w:r>
      <w:rPr>
        <w:sz w:val="18"/>
        <w:szCs w:val="18"/>
      </w:rPr>
      <w:t>05036-</w:t>
    </w:r>
    <w:proofErr w:type="gramStart"/>
    <w:r>
      <w:rPr>
        <w:sz w:val="18"/>
        <w:szCs w:val="18"/>
      </w:rPr>
      <w:t>040</w:t>
    </w:r>
    <w:r w:rsidR="0074438C" w:rsidRPr="00B91068">
      <w:rPr>
        <w:sz w:val="18"/>
        <w:szCs w:val="18"/>
      </w:rPr>
      <w:t xml:space="preserve">  São</w:t>
    </w:r>
    <w:proofErr w:type="gramEnd"/>
    <w:r w:rsidR="0074438C" w:rsidRPr="00B91068">
      <w:rPr>
        <w:sz w:val="18"/>
        <w:szCs w:val="18"/>
      </w:rPr>
      <w:t xml:space="preserve"> </w:t>
    </w:r>
    <w:proofErr w:type="gramStart"/>
    <w:r w:rsidR="0074438C" w:rsidRPr="00B91068">
      <w:rPr>
        <w:sz w:val="18"/>
        <w:szCs w:val="18"/>
      </w:rPr>
      <w:t>Paulo  SP</w:t>
    </w:r>
    <w:proofErr w:type="gramEnd"/>
    <w:r w:rsidR="0074438C" w:rsidRPr="00B91068">
      <w:rPr>
        <w:sz w:val="18"/>
        <w:szCs w:val="18"/>
      </w:rPr>
      <w:t xml:space="preserve">   tel</w:t>
    </w:r>
    <w:r w:rsidR="00C13CD0">
      <w:rPr>
        <w:sz w:val="18"/>
        <w:szCs w:val="18"/>
      </w:rPr>
      <w:t>.</w:t>
    </w:r>
    <w:r w:rsidR="00CE7FE3">
      <w:rPr>
        <w:sz w:val="18"/>
        <w:szCs w:val="18"/>
      </w:rPr>
      <w:t>;</w:t>
    </w:r>
    <w:r w:rsidR="0074438C" w:rsidRPr="00B91068">
      <w:rPr>
        <w:sz w:val="18"/>
        <w:szCs w:val="18"/>
      </w:rPr>
      <w:t xml:space="preserve"> +55 11 </w:t>
    </w:r>
    <w:r>
      <w:rPr>
        <w:sz w:val="18"/>
        <w:szCs w:val="18"/>
      </w:rPr>
      <w:t>3318-34-</w:t>
    </w:r>
    <w:proofErr w:type="gramStart"/>
    <w:r>
      <w:rPr>
        <w:sz w:val="18"/>
        <w:szCs w:val="18"/>
      </w:rPr>
      <w:t>00</w:t>
    </w:r>
    <w:r w:rsidR="0074438C" w:rsidRPr="00B91068">
      <w:rPr>
        <w:sz w:val="18"/>
        <w:szCs w:val="18"/>
      </w:rPr>
      <w:t xml:space="preserve">  piraci@piraci.com.br</w:t>
    </w:r>
    <w:proofErr w:type="gramEnd"/>
    <w:r w:rsidR="0074438C" w:rsidRPr="00B91068">
      <w:rPr>
        <w:sz w:val="18"/>
        <w:szCs w:val="18"/>
      </w:rPr>
      <w:t xml:space="preserve"> </w:t>
    </w:r>
    <w:r w:rsidR="00D3580B">
      <w:rPr>
        <w:sz w:val="18"/>
        <w:szCs w:val="18"/>
      </w:rPr>
      <w:t>-</w:t>
    </w:r>
    <w:r w:rsidR="0074438C" w:rsidRPr="00B91068">
      <w:rPr>
        <w:sz w:val="18"/>
        <w:szCs w:val="18"/>
      </w:rPr>
      <w:t xml:space="preserve"> www.piraci</w:t>
    </w:r>
    <w:r w:rsidR="00D3580B">
      <w:rPr>
        <w:sz w:val="18"/>
        <w:szCs w:val="18"/>
      </w:rPr>
      <w:t>.com.br</w:t>
    </w:r>
  </w:p>
  <w:p w14:paraId="37EB6DF1" w14:textId="77777777" w:rsidR="0074438C" w:rsidRDefault="00744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E050" w14:textId="77777777" w:rsidR="005F3048" w:rsidRDefault="005F3048" w:rsidP="009F6E62">
      <w:pPr>
        <w:spacing w:after="0" w:line="240" w:lineRule="auto"/>
      </w:pPr>
      <w:r>
        <w:separator/>
      </w:r>
    </w:p>
  </w:footnote>
  <w:footnote w:type="continuationSeparator" w:id="0">
    <w:p w14:paraId="0ADB66DA" w14:textId="77777777" w:rsidR="005F3048" w:rsidRDefault="005F3048" w:rsidP="009F6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D311" w14:textId="77777777" w:rsidR="003F0F61" w:rsidRDefault="003F0F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7F3B" w14:textId="77777777" w:rsidR="009F6E62" w:rsidRDefault="00994057" w:rsidP="009F6E62">
    <w:pPr>
      <w:pStyle w:val="Cabealho"/>
      <w:jc w:val="center"/>
    </w:pPr>
    <w:r w:rsidRPr="00994057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0C5D4ED" wp14:editId="30865B0B">
          <wp:simplePos x="0" y="0"/>
          <wp:positionH relativeFrom="column">
            <wp:posOffset>1533525</wp:posOffset>
          </wp:positionH>
          <wp:positionV relativeFrom="paragraph">
            <wp:posOffset>-173355</wp:posOffset>
          </wp:positionV>
          <wp:extent cx="2355850" cy="1173480"/>
          <wp:effectExtent l="0" t="0" r="6350" b="762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Carta_Piraci_WOR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85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1A56" w14:textId="77777777" w:rsidR="00926E72" w:rsidRDefault="00521D94" w:rsidP="00926E72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B3D2A3" wp14:editId="44BAA5B1">
              <wp:simplePos x="0" y="0"/>
              <wp:positionH relativeFrom="column">
                <wp:posOffset>36022</wp:posOffset>
              </wp:positionH>
              <wp:positionV relativeFrom="paragraph">
                <wp:posOffset>1011748</wp:posOffset>
              </wp:positionV>
              <wp:extent cx="6162675" cy="0"/>
              <wp:effectExtent l="0" t="0" r="9525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817125" id="Conector reto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79.65pt" to="488.1pt,7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iwrUygEAAP4DAAAOAAAAZHJzL2Uyb0RvYy54bWysU9uK2zAQfS/0H4TeN7YDmxYTZx+y7L6U NvTyAVp5FAt0Y6TGzt93JCfO0hZKS19kjzTnzJyj0fZhsoadAKP2ruPNquYMnPS9dseOf/v6dPee s5iE64XxDjp+hsgfdm/fbMfQwtoP3vSAjEhcbMfQ8SGl0FZVlANYEVc+gKND5dGKRCEeqx7FSOzW VOu63lSjxz6glxAj7T7Oh3xX+JUCmT4pFSEx03HqLZUVy/qS12q3Fe0RRRi0vLQh/qELK7SjogvV o0iCfUf9C5XVEn30Kq2kt5VXSksoGkhNU/+k5ssgAhQtZE4Mi03x/9HKj6cDMt13/J4zJyxd0Z4u SiaPDCF5dp8tGkNsKXPvDniJYjhg1jsptPlLSthUbD0vtsKUmKTNTbNZb94Rv7yeVTdgwJiewVuW fzputMuKRStOH2KiYpR6TcnbxuU1eqP7J21MCfKswN4gOwm65TQ1uWXCvcqiKCOrLGRuvfyls4GZ 9TMocoGabUr1Mn83TiEluHTlNY6yM0xRBwuw/jPwkp+hUGbzb8ALolT2Li1gq53H31W/WaHm/KsD s+5swYvvz+VSizU0ZMW5y4PIU/w6LvDbs939AAAA//8DAFBLAwQUAAYACAAAACEAPlviLOEAAAAO AQAADwAAAGRycy9kb3ducmV2LnhtbExPTU/DMAy9I/EfIiNxYymDdVvXdEJ8XNAuLTvALWu8tqJx uiZdy7/HSEhwseT37PeRbifbijP2vnGk4HYWgUAqnWmoUrB/e7lZgfBBk9GtI1TwhR622eVFqhPj RsrxXIRKsAj5RCuoQ+gSKX1Zo9V+5jok5o6utzrw2lfS9HpkcdvKeRTF0uqG2KHWHT7WWH4Wg1Xw etr5/X2cP+fvp1UxfhyHunKo1PXV9LTh8bABEXAKfx/w04HzQ8bBDm4g40WrYLHkQ4YX6zsQzK+X 8RzE4ReRWSr/18i+AQAA//8DAFBLAQItABQABgAIAAAAIQC2gziS/gAAAOEBAAATAAAAAAAAAAAA AAAAAAAAAABbQ29udGVudF9UeXBlc10ueG1sUEsBAi0AFAAGAAgAAAAhADj9If/WAAAAlAEAAAsA AAAAAAAAAAAAAAAALwEAAF9yZWxzLy5yZWxzUEsBAi0AFAAGAAgAAAAhAEWLCtTKAQAA/gMAAA4A AAAAAAAAAAAAAAAALgIAAGRycy9lMm9Eb2MueG1sUEsBAi0AFAAGAAgAAAAhAD5b4izhAAAADgEA AA8AAAAAAAAAAAAAAAAAJAQAAGRycy9kb3ducmV2LnhtbFBLBQYAAAAABAAEAPMAAAAyBQAAAAA= " strokecolor="black [3213]"/>
          </w:pict>
        </mc:Fallback>
      </mc:AlternateContent>
    </w:r>
    <w:r w:rsidR="009837CA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D5F91C2" wp14:editId="595940E8">
          <wp:simplePos x="0" y="0"/>
          <wp:positionH relativeFrom="column">
            <wp:posOffset>1533525</wp:posOffset>
          </wp:positionH>
          <wp:positionV relativeFrom="paragraph">
            <wp:posOffset>-173355</wp:posOffset>
          </wp:positionV>
          <wp:extent cx="2355850" cy="1173480"/>
          <wp:effectExtent l="0" t="0" r="6350" b="762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Carta_Piraci_WOR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85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24F"/>
    <w:multiLevelType w:val="multilevel"/>
    <w:tmpl w:val="0048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754AF"/>
    <w:multiLevelType w:val="hybridMultilevel"/>
    <w:tmpl w:val="4DFC0A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E3A"/>
    <w:multiLevelType w:val="hybridMultilevel"/>
    <w:tmpl w:val="5918766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335569"/>
    <w:multiLevelType w:val="hybridMultilevel"/>
    <w:tmpl w:val="C2AA73D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B40E9E"/>
    <w:multiLevelType w:val="hybridMultilevel"/>
    <w:tmpl w:val="47645A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0708E"/>
    <w:multiLevelType w:val="hybridMultilevel"/>
    <w:tmpl w:val="7F8694B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C12756"/>
    <w:multiLevelType w:val="multilevel"/>
    <w:tmpl w:val="7F401CD6"/>
    <w:lvl w:ilvl="0">
      <w:start w:val="1"/>
      <w:numFmt w:val="decimal"/>
      <w:pStyle w:val="TtuloI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89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9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9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0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29" w:hanging="2880"/>
      </w:pPr>
      <w:rPr>
        <w:rFonts w:hint="default"/>
      </w:rPr>
    </w:lvl>
  </w:abstractNum>
  <w:abstractNum w:abstractNumId="7" w15:restartNumberingAfterBreak="0">
    <w:nsid w:val="200B0416"/>
    <w:multiLevelType w:val="hybridMultilevel"/>
    <w:tmpl w:val="21E49592"/>
    <w:lvl w:ilvl="0" w:tplc="8D047EAE">
      <w:start w:val="1"/>
      <w:numFmt w:val="decimal"/>
      <w:pStyle w:val="Numerao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596FF0"/>
    <w:multiLevelType w:val="multilevel"/>
    <w:tmpl w:val="221C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67197"/>
    <w:multiLevelType w:val="hybridMultilevel"/>
    <w:tmpl w:val="B838CDC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2B772A"/>
    <w:multiLevelType w:val="hybridMultilevel"/>
    <w:tmpl w:val="B9B04BE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4E6F13"/>
    <w:multiLevelType w:val="multilevel"/>
    <w:tmpl w:val="EFF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C7F42"/>
    <w:multiLevelType w:val="hybridMultilevel"/>
    <w:tmpl w:val="D138E47A"/>
    <w:lvl w:ilvl="0" w:tplc="EE1E7D0A">
      <w:start w:val="1"/>
      <w:numFmt w:val="lowerLetter"/>
      <w:pStyle w:val="Subttuloa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28D1959"/>
    <w:multiLevelType w:val="hybridMultilevel"/>
    <w:tmpl w:val="7A9C31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61C61"/>
    <w:multiLevelType w:val="hybridMultilevel"/>
    <w:tmpl w:val="A47A5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DA77A1"/>
    <w:multiLevelType w:val="hybridMultilevel"/>
    <w:tmpl w:val="68B8CD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A118A"/>
    <w:multiLevelType w:val="hybridMultilevel"/>
    <w:tmpl w:val="B57282A2"/>
    <w:lvl w:ilvl="0" w:tplc="6A82676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70572E"/>
    <w:multiLevelType w:val="hybridMultilevel"/>
    <w:tmpl w:val="9D16E4EC"/>
    <w:lvl w:ilvl="0" w:tplc="45066B44">
      <w:start w:val="1"/>
      <w:numFmt w:val="upperRoman"/>
      <w:pStyle w:val="Considerandos"/>
      <w:lvlText w:val="%1."/>
      <w:lvlJc w:val="right"/>
      <w:pPr>
        <w:ind w:left="1429" w:hanging="18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D72435"/>
    <w:multiLevelType w:val="hybridMultilevel"/>
    <w:tmpl w:val="5C36F336"/>
    <w:lvl w:ilvl="0" w:tplc="04160017">
      <w:start w:val="1"/>
      <w:numFmt w:val="lowerLetter"/>
      <w:lvlText w:val="%1)"/>
      <w:lvlJc w:val="left"/>
      <w:pPr>
        <w:ind w:left="1661" w:hanging="360"/>
      </w:pPr>
    </w:lvl>
    <w:lvl w:ilvl="1" w:tplc="04160019" w:tentative="1">
      <w:start w:val="1"/>
      <w:numFmt w:val="lowerLetter"/>
      <w:lvlText w:val="%2."/>
      <w:lvlJc w:val="left"/>
      <w:pPr>
        <w:ind w:left="2381" w:hanging="360"/>
      </w:pPr>
    </w:lvl>
    <w:lvl w:ilvl="2" w:tplc="0416001B" w:tentative="1">
      <w:start w:val="1"/>
      <w:numFmt w:val="lowerRoman"/>
      <w:lvlText w:val="%3."/>
      <w:lvlJc w:val="right"/>
      <w:pPr>
        <w:ind w:left="3101" w:hanging="180"/>
      </w:pPr>
    </w:lvl>
    <w:lvl w:ilvl="3" w:tplc="0416000F" w:tentative="1">
      <w:start w:val="1"/>
      <w:numFmt w:val="decimal"/>
      <w:lvlText w:val="%4."/>
      <w:lvlJc w:val="left"/>
      <w:pPr>
        <w:ind w:left="3821" w:hanging="360"/>
      </w:pPr>
    </w:lvl>
    <w:lvl w:ilvl="4" w:tplc="04160019" w:tentative="1">
      <w:start w:val="1"/>
      <w:numFmt w:val="lowerLetter"/>
      <w:lvlText w:val="%5."/>
      <w:lvlJc w:val="left"/>
      <w:pPr>
        <w:ind w:left="4541" w:hanging="360"/>
      </w:pPr>
    </w:lvl>
    <w:lvl w:ilvl="5" w:tplc="0416001B" w:tentative="1">
      <w:start w:val="1"/>
      <w:numFmt w:val="lowerRoman"/>
      <w:lvlText w:val="%6."/>
      <w:lvlJc w:val="right"/>
      <w:pPr>
        <w:ind w:left="5261" w:hanging="180"/>
      </w:pPr>
    </w:lvl>
    <w:lvl w:ilvl="6" w:tplc="0416000F" w:tentative="1">
      <w:start w:val="1"/>
      <w:numFmt w:val="decimal"/>
      <w:lvlText w:val="%7."/>
      <w:lvlJc w:val="left"/>
      <w:pPr>
        <w:ind w:left="5981" w:hanging="360"/>
      </w:pPr>
    </w:lvl>
    <w:lvl w:ilvl="7" w:tplc="04160019" w:tentative="1">
      <w:start w:val="1"/>
      <w:numFmt w:val="lowerLetter"/>
      <w:lvlText w:val="%8."/>
      <w:lvlJc w:val="left"/>
      <w:pPr>
        <w:ind w:left="6701" w:hanging="360"/>
      </w:pPr>
    </w:lvl>
    <w:lvl w:ilvl="8" w:tplc="0416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9" w15:restartNumberingAfterBreak="0">
    <w:nsid w:val="4EFB41D3"/>
    <w:multiLevelType w:val="hybridMultilevel"/>
    <w:tmpl w:val="5FC449D4"/>
    <w:lvl w:ilvl="0" w:tplc="1726725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1A3A45"/>
    <w:multiLevelType w:val="hybridMultilevel"/>
    <w:tmpl w:val="5660F9F8"/>
    <w:lvl w:ilvl="0" w:tplc="3050B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5B089A"/>
    <w:multiLevelType w:val="multilevel"/>
    <w:tmpl w:val="DFC080B4"/>
    <w:lvl w:ilvl="0">
      <w:start w:val="1"/>
      <w:numFmt w:val="bullet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A431C"/>
    <w:multiLevelType w:val="multilevel"/>
    <w:tmpl w:val="C86C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346DB7"/>
    <w:multiLevelType w:val="hybridMultilevel"/>
    <w:tmpl w:val="57B64A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4646"/>
    <w:multiLevelType w:val="hybridMultilevel"/>
    <w:tmpl w:val="AD66AC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EDE"/>
    <w:multiLevelType w:val="hybridMultilevel"/>
    <w:tmpl w:val="0A8E4A1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2540721"/>
    <w:multiLevelType w:val="multilevel"/>
    <w:tmpl w:val="443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F6533"/>
    <w:multiLevelType w:val="hybridMultilevel"/>
    <w:tmpl w:val="578642BE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97179C"/>
    <w:multiLevelType w:val="hybridMultilevel"/>
    <w:tmpl w:val="01B24A4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CB3224"/>
    <w:multiLevelType w:val="multilevel"/>
    <w:tmpl w:val="9F0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C4BEB"/>
    <w:multiLevelType w:val="multilevel"/>
    <w:tmpl w:val="DFC080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8D68F1"/>
    <w:multiLevelType w:val="hybridMultilevel"/>
    <w:tmpl w:val="B838CD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A1C4911"/>
    <w:multiLevelType w:val="multilevel"/>
    <w:tmpl w:val="DFC080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397858">
    <w:abstractNumId w:val="7"/>
  </w:num>
  <w:num w:numId="2" w16cid:durableId="1086422696">
    <w:abstractNumId w:val="6"/>
  </w:num>
  <w:num w:numId="3" w16cid:durableId="761488706">
    <w:abstractNumId w:val="17"/>
  </w:num>
  <w:num w:numId="4" w16cid:durableId="14503434">
    <w:abstractNumId w:val="12"/>
  </w:num>
  <w:num w:numId="5" w16cid:durableId="1176114946">
    <w:abstractNumId w:val="25"/>
  </w:num>
  <w:num w:numId="6" w16cid:durableId="1160393199">
    <w:abstractNumId w:val="28"/>
  </w:num>
  <w:num w:numId="7" w16cid:durableId="1244998070">
    <w:abstractNumId w:val="27"/>
  </w:num>
  <w:num w:numId="8" w16cid:durableId="291132370">
    <w:abstractNumId w:val="24"/>
  </w:num>
  <w:num w:numId="9" w16cid:durableId="560822327">
    <w:abstractNumId w:val="4"/>
  </w:num>
  <w:num w:numId="10" w16cid:durableId="1964966862">
    <w:abstractNumId w:val="13"/>
  </w:num>
  <w:num w:numId="11" w16cid:durableId="1844274838">
    <w:abstractNumId w:val="23"/>
  </w:num>
  <w:num w:numId="12" w16cid:durableId="668800175">
    <w:abstractNumId w:val="15"/>
  </w:num>
  <w:num w:numId="13" w16cid:durableId="1035888266">
    <w:abstractNumId w:val="1"/>
  </w:num>
  <w:num w:numId="14" w16cid:durableId="1571651335">
    <w:abstractNumId w:val="30"/>
  </w:num>
  <w:num w:numId="15" w16cid:durableId="2059039813">
    <w:abstractNumId w:val="21"/>
  </w:num>
  <w:num w:numId="16" w16cid:durableId="476656132">
    <w:abstractNumId w:val="32"/>
  </w:num>
  <w:num w:numId="17" w16cid:durableId="27267773">
    <w:abstractNumId w:val="22"/>
  </w:num>
  <w:num w:numId="18" w16cid:durableId="720321618">
    <w:abstractNumId w:val="0"/>
  </w:num>
  <w:num w:numId="19" w16cid:durableId="1027177155">
    <w:abstractNumId w:val="6"/>
  </w:num>
  <w:num w:numId="20" w16cid:durableId="1691030222">
    <w:abstractNumId w:val="5"/>
  </w:num>
  <w:num w:numId="21" w16cid:durableId="482357993">
    <w:abstractNumId w:val="6"/>
  </w:num>
  <w:num w:numId="22" w16cid:durableId="1000045257">
    <w:abstractNumId w:val="6"/>
  </w:num>
  <w:num w:numId="23" w16cid:durableId="332530993">
    <w:abstractNumId w:val="6"/>
  </w:num>
  <w:num w:numId="24" w16cid:durableId="827014668">
    <w:abstractNumId w:val="3"/>
  </w:num>
  <w:num w:numId="25" w16cid:durableId="1032651302">
    <w:abstractNumId w:val="20"/>
  </w:num>
  <w:num w:numId="26" w16cid:durableId="2059549471">
    <w:abstractNumId w:val="14"/>
  </w:num>
  <w:num w:numId="27" w16cid:durableId="79958382">
    <w:abstractNumId w:val="9"/>
  </w:num>
  <w:num w:numId="28" w16cid:durableId="1341159663">
    <w:abstractNumId w:val="18"/>
  </w:num>
  <w:num w:numId="29" w16cid:durableId="55325685">
    <w:abstractNumId w:val="7"/>
  </w:num>
  <w:num w:numId="30" w16cid:durableId="979112569">
    <w:abstractNumId w:val="31"/>
  </w:num>
  <w:num w:numId="31" w16cid:durableId="869757620">
    <w:abstractNumId w:val="7"/>
  </w:num>
  <w:num w:numId="32" w16cid:durableId="486166212">
    <w:abstractNumId w:val="7"/>
  </w:num>
  <w:num w:numId="33" w16cid:durableId="106974245">
    <w:abstractNumId w:val="7"/>
  </w:num>
  <w:num w:numId="34" w16cid:durableId="2020697807">
    <w:abstractNumId w:val="26"/>
  </w:num>
  <w:num w:numId="35" w16cid:durableId="1644238799">
    <w:abstractNumId w:val="11"/>
  </w:num>
  <w:num w:numId="36" w16cid:durableId="1197549988">
    <w:abstractNumId w:val="10"/>
  </w:num>
  <w:num w:numId="37" w16cid:durableId="927888755">
    <w:abstractNumId w:val="19"/>
  </w:num>
  <w:num w:numId="38" w16cid:durableId="1739940824">
    <w:abstractNumId w:val="29"/>
  </w:num>
  <w:num w:numId="39" w16cid:durableId="1102185497">
    <w:abstractNumId w:val="8"/>
  </w:num>
  <w:num w:numId="40" w16cid:durableId="1964993497">
    <w:abstractNumId w:val="16"/>
  </w:num>
  <w:num w:numId="41" w16cid:durableId="17994894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62"/>
    <w:rsid w:val="00013953"/>
    <w:rsid w:val="00016C0D"/>
    <w:rsid w:val="00022066"/>
    <w:rsid w:val="00022A88"/>
    <w:rsid w:val="00024297"/>
    <w:rsid w:val="00030736"/>
    <w:rsid w:val="000509EB"/>
    <w:rsid w:val="00055F0C"/>
    <w:rsid w:val="000647D7"/>
    <w:rsid w:val="00072CC2"/>
    <w:rsid w:val="0008305E"/>
    <w:rsid w:val="00091E27"/>
    <w:rsid w:val="000A63E3"/>
    <w:rsid w:val="000C462C"/>
    <w:rsid w:val="000F0BC0"/>
    <w:rsid w:val="0011148D"/>
    <w:rsid w:val="00132562"/>
    <w:rsid w:val="001330A5"/>
    <w:rsid w:val="00135750"/>
    <w:rsid w:val="00153ADD"/>
    <w:rsid w:val="00153E07"/>
    <w:rsid w:val="001618F6"/>
    <w:rsid w:val="00175DBD"/>
    <w:rsid w:val="00183269"/>
    <w:rsid w:val="001863B8"/>
    <w:rsid w:val="00190C7B"/>
    <w:rsid w:val="001B2860"/>
    <w:rsid w:val="001B2D01"/>
    <w:rsid w:val="001E5963"/>
    <w:rsid w:val="00201912"/>
    <w:rsid w:val="002228B0"/>
    <w:rsid w:val="00244CE6"/>
    <w:rsid w:val="0027590F"/>
    <w:rsid w:val="00291B18"/>
    <w:rsid w:val="00292691"/>
    <w:rsid w:val="002C563C"/>
    <w:rsid w:val="002E0834"/>
    <w:rsid w:val="003072F3"/>
    <w:rsid w:val="0031175E"/>
    <w:rsid w:val="00313A81"/>
    <w:rsid w:val="003148AD"/>
    <w:rsid w:val="00326CE4"/>
    <w:rsid w:val="00332BAC"/>
    <w:rsid w:val="003444F0"/>
    <w:rsid w:val="00365AA9"/>
    <w:rsid w:val="00372113"/>
    <w:rsid w:val="003B3EE9"/>
    <w:rsid w:val="003C48BE"/>
    <w:rsid w:val="003E5477"/>
    <w:rsid w:val="003F0F61"/>
    <w:rsid w:val="003F5731"/>
    <w:rsid w:val="00400DF6"/>
    <w:rsid w:val="00435856"/>
    <w:rsid w:val="00462B49"/>
    <w:rsid w:val="00463819"/>
    <w:rsid w:val="004907F2"/>
    <w:rsid w:val="00490AE8"/>
    <w:rsid w:val="00494D8C"/>
    <w:rsid w:val="004D17E6"/>
    <w:rsid w:val="004F4D1F"/>
    <w:rsid w:val="0050261B"/>
    <w:rsid w:val="00506D33"/>
    <w:rsid w:val="005209F5"/>
    <w:rsid w:val="00521D94"/>
    <w:rsid w:val="0053698A"/>
    <w:rsid w:val="00563113"/>
    <w:rsid w:val="00580EF5"/>
    <w:rsid w:val="00583445"/>
    <w:rsid w:val="00593271"/>
    <w:rsid w:val="00595FDA"/>
    <w:rsid w:val="0059679A"/>
    <w:rsid w:val="00597322"/>
    <w:rsid w:val="005A1BC4"/>
    <w:rsid w:val="005D1B7F"/>
    <w:rsid w:val="005D5327"/>
    <w:rsid w:val="005E36CB"/>
    <w:rsid w:val="005E4C7A"/>
    <w:rsid w:val="005F3048"/>
    <w:rsid w:val="00600384"/>
    <w:rsid w:val="006113C1"/>
    <w:rsid w:val="006417E6"/>
    <w:rsid w:val="0065236D"/>
    <w:rsid w:val="00687F2A"/>
    <w:rsid w:val="006908A6"/>
    <w:rsid w:val="006969D3"/>
    <w:rsid w:val="00697461"/>
    <w:rsid w:val="006A0510"/>
    <w:rsid w:val="006A0BD1"/>
    <w:rsid w:val="006B2601"/>
    <w:rsid w:val="006B2AB6"/>
    <w:rsid w:val="006C6B6C"/>
    <w:rsid w:val="006D07B5"/>
    <w:rsid w:val="006D2FD4"/>
    <w:rsid w:val="006E29FD"/>
    <w:rsid w:val="006E60E8"/>
    <w:rsid w:val="006F762F"/>
    <w:rsid w:val="00702769"/>
    <w:rsid w:val="00704529"/>
    <w:rsid w:val="0071136C"/>
    <w:rsid w:val="00724F90"/>
    <w:rsid w:val="00731CDB"/>
    <w:rsid w:val="007329F9"/>
    <w:rsid w:val="0073371E"/>
    <w:rsid w:val="0073456F"/>
    <w:rsid w:val="007412FD"/>
    <w:rsid w:val="00743AFD"/>
    <w:rsid w:val="0074438C"/>
    <w:rsid w:val="00744593"/>
    <w:rsid w:val="00776567"/>
    <w:rsid w:val="00791F40"/>
    <w:rsid w:val="007A52E7"/>
    <w:rsid w:val="007B3FAF"/>
    <w:rsid w:val="007B5D53"/>
    <w:rsid w:val="007C55BE"/>
    <w:rsid w:val="007C6FA8"/>
    <w:rsid w:val="007E0A17"/>
    <w:rsid w:val="007F3882"/>
    <w:rsid w:val="007F44BC"/>
    <w:rsid w:val="00815903"/>
    <w:rsid w:val="00817C03"/>
    <w:rsid w:val="0083329E"/>
    <w:rsid w:val="00857970"/>
    <w:rsid w:val="00861D9F"/>
    <w:rsid w:val="00865C38"/>
    <w:rsid w:val="00870687"/>
    <w:rsid w:val="0088599B"/>
    <w:rsid w:val="008C3E51"/>
    <w:rsid w:val="008D3C55"/>
    <w:rsid w:val="008F43FD"/>
    <w:rsid w:val="00924C6B"/>
    <w:rsid w:val="00926E72"/>
    <w:rsid w:val="0093109C"/>
    <w:rsid w:val="00947B33"/>
    <w:rsid w:val="00956053"/>
    <w:rsid w:val="00971BBA"/>
    <w:rsid w:val="009837CA"/>
    <w:rsid w:val="00994057"/>
    <w:rsid w:val="009A0402"/>
    <w:rsid w:val="009A13B3"/>
    <w:rsid w:val="009D058A"/>
    <w:rsid w:val="009F368B"/>
    <w:rsid w:val="009F614B"/>
    <w:rsid w:val="009F6E62"/>
    <w:rsid w:val="00A07488"/>
    <w:rsid w:val="00A15B5B"/>
    <w:rsid w:val="00A4068A"/>
    <w:rsid w:val="00A440AD"/>
    <w:rsid w:val="00A4582A"/>
    <w:rsid w:val="00A73157"/>
    <w:rsid w:val="00A85EE4"/>
    <w:rsid w:val="00A86DE1"/>
    <w:rsid w:val="00AB4FC6"/>
    <w:rsid w:val="00AB7B5A"/>
    <w:rsid w:val="00AE3BE9"/>
    <w:rsid w:val="00AE51AD"/>
    <w:rsid w:val="00B15F5D"/>
    <w:rsid w:val="00B538B1"/>
    <w:rsid w:val="00B55374"/>
    <w:rsid w:val="00B5710F"/>
    <w:rsid w:val="00B72931"/>
    <w:rsid w:val="00B75267"/>
    <w:rsid w:val="00B77765"/>
    <w:rsid w:val="00BB79C6"/>
    <w:rsid w:val="00BD0B47"/>
    <w:rsid w:val="00BD2FB5"/>
    <w:rsid w:val="00BE0440"/>
    <w:rsid w:val="00BE4C59"/>
    <w:rsid w:val="00BF4453"/>
    <w:rsid w:val="00C0207C"/>
    <w:rsid w:val="00C040FD"/>
    <w:rsid w:val="00C04488"/>
    <w:rsid w:val="00C13CD0"/>
    <w:rsid w:val="00C246BD"/>
    <w:rsid w:val="00C40F50"/>
    <w:rsid w:val="00C45E1C"/>
    <w:rsid w:val="00C4787F"/>
    <w:rsid w:val="00C47A6E"/>
    <w:rsid w:val="00C515DF"/>
    <w:rsid w:val="00C5733D"/>
    <w:rsid w:val="00C60A8B"/>
    <w:rsid w:val="00C65CF5"/>
    <w:rsid w:val="00CD53E9"/>
    <w:rsid w:val="00CE7FE3"/>
    <w:rsid w:val="00D04A76"/>
    <w:rsid w:val="00D16C17"/>
    <w:rsid w:val="00D3580B"/>
    <w:rsid w:val="00D55750"/>
    <w:rsid w:val="00D722BB"/>
    <w:rsid w:val="00D82B64"/>
    <w:rsid w:val="00D95395"/>
    <w:rsid w:val="00D96CCB"/>
    <w:rsid w:val="00D96E01"/>
    <w:rsid w:val="00DC6F9D"/>
    <w:rsid w:val="00DD36CE"/>
    <w:rsid w:val="00DD3A76"/>
    <w:rsid w:val="00DD6CE5"/>
    <w:rsid w:val="00DE00DD"/>
    <w:rsid w:val="00DE46B2"/>
    <w:rsid w:val="00E038E6"/>
    <w:rsid w:val="00E06CD7"/>
    <w:rsid w:val="00E07F46"/>
    <w:rsid w:val="00E32752"/>
    <w:rsid w:val="00E41B49"/>
    <w:rsid w:val="00E673BE"/>
    <w:rsid w:val="00E836F3"/>
    <w:rsid w:val="00EB26C1"/>
    <w:rsid w:val="00ED2F45"/>
    <w:rsid w:val="00ED529D"/>
    <w:rsid w:val="00EE3E3C"/>
    <w:rsid w:val="00EE4079"/>
    <w:rsid w:val="00EE698E"/>
    <w:rsid w:val="00F15279"/>
    <w:rsid w:val="00F320B3"/>
    <w:rsid w:val="00F34DC2"/>
    <w:rsid w:val="00F45FEE"/>
    <w:rsid w:val="00F545F5"/>
    <w:rsid w:val="00F64FE4"/>
    <w:rsid w:val="00F67C5C"/>
    <w:rsid w:val="00F75BCE"/>
    <w:rsid w:val="00F854CB"/>
    <w:rsid w:val="00FB02A4"/>
    <w:rsid w:val="00FB1C03"/>
    <w:rsid w:val="00FC12AF"/>
    <w:rsid w:val="00FC1DBF"/>
    <w:rsid w:val="00FE3D66"/>
    <w:rsid w:val="00FE5FD4"/>
    <w:rsid w:val="00FF0BAB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72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9F614B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9F6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9F61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rsid w:val="00FC12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rsid w:val="00D16C17"/>
    <w:pPr>
      <w:keepNext/>
      <w:spacing w:before="0" w:after="0" w:line="240" w:lineRule="auto"/>
      <w:ind w:firstLine="3402"/>
      <w:outlineLvl w:val="4"/>
    </w:pPr>
    <w:rPr>
      <w:rFonts w:ascii="Arial" w:eastAsia="Times New Roman" w:hAnsi="Arial" w:cs="Times New Roman"/>
      <w:b/>
      <w:bCs/>
      <w:sz w:val="24"/>
      <w:szCs w:val="20"/>
      <w:u w:val="single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rsid w:val="009F6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6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6E62"/>
  </w:style>
  <w:style w:type="paragraph" w:styleId="Rodap">
    <w:name w:val="footer"/>
    <w:basedOn w:val="Normal"/>
    <w:link w:val="RodapChar"/>
    <w:uiPriority w:val="99"/>
    <w:unhideWhenUsed/>
    <w:rsid w:val="009F6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E62"/>
  </w:style>
  <w:style w:type="paragraph" w:styleId="Textodebalo">
    <w:name w:val="Balloon Text"/>
    <w:basedOn w:val="Normal"/>
    <w:link w:val="TextodebaloChar"/>
    <w:uiPriority w:val="99"/>
    <w:semiHidden/>
    <w:unhideWhenUsed/>
    <w:rsid w:val="009F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E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4A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04A76"/>
    <w:pPr>
      <w:spacing w:after="0" w:line="240" w:lineRule="auto"/>
      <w:ind w:left="720"/>
    </w:pPr>
    <w:rPr>
      <w:rFonts w:ascii="Calibri" w:hAnsi="Calibri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04A76"/>
    <w:rPr>
      <w:b/>
      <w:bCs/>
    </w:rPr>
  </w:style>
  <w:style w:type="paragraph" w:customStyle="1" w:styleId="NmerodoProcesso">
    <w:name w:val="Número do Processo"/>
    <w:basedOn w:val="Normal"/>
    <w:autoRedefine/>
    <w:rsid w:val="009F36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i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448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4488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C04488"/>
    <w:rPr>
      <w:vertAlign w:val="superscript"/>
    </w:rPr>
  </w:style>
  <w:style w:type="paragraph" w:customStyle="1" w:styleId="petio">
    <w:name w:val="petição"/>
    <w:basedOn w:val="Normal"/>
    <w:link w:val="petioChar"/>
    <w:qFormat/>
    <w:rsid w:val="003072F3"/>
    <w:rPr>
      <w:rFonts w:ascii="Verdana" w:hAnsi="Verdana" w:cs="Times New Roman (Corpo CS)"/>
      <w:sz w:val="24"/>
      <w:szCs w:val="24"/>
    </w:rPr>
  </w:style>
  <w:style w:type="paragraph" w:styleId="SemEspaamento">
    <w:name w:val="No Spacing"/>
    <w:uiPriority w:val="1"/>
    <w:qFormat/>
    <w:rsid w:val="003072F3"/>
    <w:pPr>
      <w:spacing w:before="0" w:after="0" w:line="240" w:lineRule="auto"/>
    </w:pPr>
  </w:style>
  <w:style w:type="paragraph" w:customStyle="1" w:styleId="citao">
    <w:name w:val="citação"/>
    <w:basedOn w:val="SemEspaamento"/>
    <w:qFormat/>
    <w:rsid w:val="00817C03"/>
    <w:pPr>
      <w:spacing w:before="240" w:after="240"/>
      <w:ind w:left="1134" w:firstLine="0"/>
    </w:pPr>
    <w:rPr>
      <w:rFonts w:ascii="Times New Roman" w:hAnsi="Times New Roman"/>
      <w:i/>
      <w:sz w:val="24"/>
    </w:rPr>
  </w:style>
  <w:style w:type="paragraph" w:customStyle="1" w:styleId="Endereamento">
    <w:name w:val="Endereçamento"/>
    <w:basedOn w:val="Normal"/>
    <w:qFormat/>
    <w:rsid w:val="003B3EE9"/>
    <w:pPr>
      <w:spacing w:before="480" w:after="480"/>
      <w:ind w:firstLine="0"/>
    </w:pPr>
    <w:rPr>
      <w:rFonts w:ascii="Verdana" w:hAnsi="Verdana" w:cs="Arial"/>
      <w:b/>
      <w:sz w:val="24"/>
    </w:rPr>
  </w:style>
  <w:style w:type="paragraph" w:customStyle="1" w:styleId="Numerao">
    <w:name w:val="Numeração"/>
    <w:basedOn w:val="petio"/>
    <w:qFormat/>
    <w:rsid w:val="00016C0D"/>
    <w:pPr>
      <w:numPr>
        <w:numId w:val="1"/>
      </w:numPr>
    </w:pPr>
  </w:style>
  <w:style w:type="paragraph" w:customStyle="1" w:styleId="AssinaturaPiraci">
    <w:name w:val="Assinatura Piraci"/>
    <w:basedOn w:val="Normal"/>
    <w:qFormat/>
    <w:rsid w:val="001618F6"/>
    <w:pPr>
      <w:spacing w:before="360" w:after="120" w:line="240" w:lineRule="auto"/>
      <w:ind w:firstLine="0"/>
      <w:contextualSpacing/>
      <w:jc w:val="center"/>
    </w:pPr>
    <w:rPr>
      <w:rFonts w:cs="Arial"/>
      <w:b/>
      <w:sz w:val="26"/>
    </w:rPr>
  </w:style>
  <w:style w:type="character" w:customStyle="1" w:styleId="Ttulo5Char">
    <w:name w:val="Título 5 Char"/>
    <w:basedOn w:val="Fontepargpadro"/>
    <w:link w:val="Ttulo5"/>
    <w:rsid w:val="00D16C17"/>
    <w:rPr>
      <w:rFonts w:ascii="Arial" w:eastAsia="Times New Roman" w:hAnsi="Arial" w:cs="Times New Roman"/>
      <w:b/>
      <w:bCs/>
      <w:sz w:val="24"/>
      <w:szCs w:val="20"/>
      <w:u w:val="single"/>
      <w:lang w:val="x-none" w:eastAsia="pt-BR"/>
    </w:rPr>
  </w:style>
  <w:style w:type="character" w:customStyle="1" w:styleId="Ttulo1Char">
    <w:name w:val="Título 1 Char"/>
    <w:basedOn w:val="Fontepargpadro"/>
    <w:link w:val="Ttulo1"/>
    <w:uiPriority w:val="9"/>
    <w:rsid w:val="009F61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F61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etioChar">
    <w:name w:val="petição Char"/>
    <w:link w:val="petio"/>
    <w:rsid w:val="00D16C17"/>
    <w:rPr>
      <w:rFonts w:ascii="Verdana" w:hAnsi="Verdana" w:cs="Times New Roman (Corpo CS)"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rsid w:val="00D16C17"/>
    <w:pPr>
      <w:spacing w:before="0"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em">
    <w:name w:val="item"/>
    <w:basedOn w:val="Fontepargpadro"/>
    <w:uiPriority w:val="1"/>
    <w:rsid w:val="001618F6"/>
  </w:style>
  <w:style w:type="paragraph" w:customStyle="1" w:styleId="TtuloI">
    <w:name w:val="Título I"/>
    <w:basedOn w:val="petio"/>
    <w:qFormat/>
    <w:rsid w:val="001618F6"/>
    <w:pPr>
      <w:numPr>
        <w:numId w:val="2"/>
      </w:numPr>
      <w:spacing w:before="480" w:after="480"/>
    </w:pPr>
    <w:rPr>
      <w:rFonts w:eastAsia="Calibri"/>
      <w:b/>
    </w:rPr>
  </w:style>
  <w:style w:type="paragraph" w:customStyle="1" w:styleId="Subttuloa">
    <w:name w:val="Subtítulo a)"/>
    <w:basedOn w:val="petio"/>
    <w:qFormat/>
    <w:rsid w:val="00F15279"/>
    <w:pPr>
      <w:numPr>
        <w:numId w:val="4"/>
      </w:numPr>
      <w:spacing w:before="480" w:after="360"/>
    </w:pPr>
    <w:rPr>
      <w:rFonts w:eastAsia="Batang"/>
      <w:b/>
      <w:bCs/>
      <w:iCs/>
    </w:rPr>
  </w:style>
  <w:style w:type="character" w:customStyle="1" w:styleId="Ttulo4Char">
    <w:name w:val="Título 4 Char"/>
    <w:basedOn w:val="Fontepargpadro"/>
    <w:link w:val="Ttulo4"/>
    <w:uiPriority w:val="9"/>
    <w:rsid w:val="00FC12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iderandos">
    <w:name w:val="Considerandos"/>
    <w:basedOn w:val="petio"/>
    <w:rsid w:val="002E0834"/>
    <w:pPr>
      <w:numPr>
        <w:numId w:val="3"/>
      </w:numPr>
    </w:pPr>
    <w:rPr>
      <w:i/>
    </w:rPr>
  </w:style>
  <w:style w:type="character" w:customStyle="1" w:styleId="Ttulo3Char">
    <w:name w:val="Título 3 Char"/>
    <w:basedOn w:val="Fontepargpadro"/>
    <w:link w:val="Ttulo3"/>
    <w:uiPriority w:val="9"/>
    <w:rsid w:val="009F61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9F614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oLivro">
    <w:name w:val="Book Title"/>
    <w:basedOn w:val="Fontepargpadro"/>
    <w:uiPriority w:val="33"/>
    <w:rsid w:val="009F614B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rsid w:val="009F614B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rsid w:val="00DD36CE"/>
    <w:rPr>
      <w:smallCap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36C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36CE"/>
    <w:rPr>
      <w:i/>
      <w:iCs/>
      <w:color w:val="4F81BD" w:themeColor="accent1"/>
    </w:rPr>
  </w:style>
  <w:style w:type="paragraph" w:styleId="Citao0">
    <w:name w:val="Quote"/>
    <w:basedOn w:val="Normal"/>
    <w:next w:val="Normal"/>
    <w:link w:val="CitaoChar"/>
    <w:uiPriority w:val="29"/>
    <w:rsid w:val="00DD36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0"/>
    <w:uiPriority w:val="29"/>
    <w:rsid w:val="00DD36C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DD36CE"/>
    <w:rPr>
      <w:i/>
      <w:iCs/>
      <w:color w:val="4F81BD" w:themeColor="accent1"/>
    </w:rPr>
  </w:style>
  <w:style w:type="character" w:styleId="nfase">
    <w:name w:val="Emphasis"/>
    <w:basedOn w:val="Fontepargpadro"/>
    <w:uiPriority w:val="20"/>
    <w:qFormat/>
    <w:rsid w:val="00DD36CE"/>
    <w:rPr>
      <w:i/>
      <w:iCs/>
    </w:rPr>
  </w:style>
  <w:style w:type="paragraph" w:customStyle="1" w:styleId="Estilo1">
    <w:name w:val="Estilo1"/>
    <w:basedOn w:val="Citao0"/>
    <w:rsid w:val="00595FDA"/>
  </w:style>
  <w:style w:type="paragraph" w:customStyle="1" w:styleId="Estilo2">
    <w:name w:val="Estilo2"/>
    <w:basedOn w:val="Citao0"/>
    <w:rsid w:val="00595FDA"/>
  </w:style>
  <w:style w:type="character" w:styleId="nfaseSutil">
    <w:name w:val="Subtle Emphasis"/>
    <w:basedOn w:val="Fontepargpadro"/>
    <w:uiPriority w:val="19"/>
    <w:rsid w:val="00595FDA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har"/>
    <w:uiPriority w:val="10"/>
    <w:qFormat/>
    <w:rsid w:val="00595FD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etio0">
    <w:name w:val="Petição"/>
    <w:basedOn w:val="Normal"/>
    <w:link w:val="PetioChar0"/>
    <w:autoRedefine/>
    <w:rsid w:val="00776567"/>
    <w:pPr>
      <w:spacing w:before="360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Assinaturapetio">
    <w:name w:val="Assinatura petição"/>
    <w:basedOn w:val="Normal"/>
    <w:autoRedefine/>
    <w:rsid w:val="00776567"/>
    <w:pPr>
      <w:spacing w:before="120" w:after="120"/>
      <w:ind w:firstLine="1134"/>
      <w:jc w:val="center"/>
    </w:pPr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PetioChar0">
    <w:name w:val="Petição Char"/>
    <w:link w:val="Petio0"/>
    <w:rsid w:val="00776567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76567"/>
    <w:pPr>
      <w:spacing w:before="0"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765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76567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567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76567"/>
    <w:rPr>
      <w:rFonts w:eastAsiaTheme="minorEastAsia"/>
      <w:color w:val="5A5A5A" w:themeColor="text1" w:themeTint="A5"/>
      <w:spacing w:val="15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0748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07488"/>
    <w:rPr>
      <w:sz w:val="16"/>
      <w:szCs w:val="16"/>
    </w:rPr>
  </w:style>
  <w:style w:type="paragraph" w:customStyle="1" w:styleId="style1">
    <w:name w:val="style1"/>
    <w:basedOn w:val="Normal"/>
    <w:rsid w:val="00A0748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E7F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E7FE3"/>
  </w:style>
  <w:style w:type="character" w:styleId="MenoPendente">
    <w:name w:val="Unresolved Mention"/>
    <w:basedOn w:val="Fontepargpadro"/>
    <w:uiPriority w:val="99"/>
    <w:semiHidden/>
    <w:unhideWhenUsed/>
    <w:rsid w:val="00175DBD"/>
    <w:rPr>
      <w:color w:val="605E5C"/>
      <w:shd w:val="clear" w:color="auto" w:fill="E1DFDD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53ADD"/>
    <w:pPr>
      <w:pBdr>
        <w:bottom w:val="single" w:sz="6" w:space="1" w:color="auto"/>
      </w:pBdr>
      <w:spacing w:before="0" w:after="0"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53AD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53ADD"/>
    <w:pPr>
      <w:pBdr>
        <w:top w:val="single" w:sz="6" w:space="1" w:color="auto"/>
      </w:pBdr>
      <w:spacing w:before="0" w:after="0"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53AD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3F5731"/>
  </w:style>
  <w:style w:type="paragraph" w:customStyle="1" w:styleId="my-2">
    <w:name w:val="my-2"/>
    <w:basedOn w:val="Normal"/>
    <w:rsid w:val="006417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7776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3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141404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16404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6027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357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396457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924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1810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7277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635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125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4876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23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27538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875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0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4527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90862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93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831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253573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6346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4303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5080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010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9215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5395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36153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39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61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32006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1707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78883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4943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37706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8183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3948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5861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1998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8012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553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9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8682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52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25BBE06-B573-F04C-8001-AD91B05CCA9B}">
  <we:reference id="wa200010453" version="1.0.0.1" store="pt-BR" storeType="OMEX"/>
  <we:alternateReferences>
    <we:reference id="wa200010453" version="1.0.0.1" store="WA200010453" storeType="OMEX"/>
  </we:alternateReferences>
  <we:properties>
    <we:property name="claude.fileId" value="&quot;b263a65c-6df7-4e2b-aa80-33a0074725b0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3DDB-0B97-F741-A9D3-3E888A44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3336</Words>
  <Characters>17481</Characters>
  <Application>Microsoft Office Word</Application>
  <DocSecurity>0</DocSecurity>
  <Lines>409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Propaganda</dc:creator>
  <cp:lastModifiedBy>Piraci Ubiratan</cp:lastModifiedBy>
  <cp:revision>2</cp:revision>
  <cp:lastPrinted>2017-11-28T14:02:00Z</cp:lastPrinted>
  <dcterms:created xsi:type="dcterms:W3CDTF">2026-04-28T11:45:00Z</dcterms:created>
  <dcterms:modified xsi:type="dcterms:W3CDTF">2026-04-28T11:45:00Z</dcterms:modified>
</cp:coreProperties>
</file>