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 w:line="312"/>
        <w:ind w:left="0" w:right="0"/>
        <w:jc w:val="right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São Paulo, 2 de maio de 2026.</w:t>
      </w:r>
    </w:p>
    <w:p>
      <w:pPr>
        <w:spacing w:after="360" w:before="0" w:line="312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8"/>
          <w:szCs w:val="28"/>
        </w:rPr>
        <w:t xml:space="preserve">PARECER</w:t>
      </w:r>
    </w:p>
    <w:p>
      <w:pPr>
        <w:spacing w:after="480" w:before="0" w:line="312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Locação de imóveis por pessoa jurídica na Reforma Tributária: regime aplicável ao CBS</w:t>
      </w:r>
    </w:p>
    <w:p>
      <w:pPr>
        <w:spacing w:after="120" w:before="240" w:line="312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Ementa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Locação de imóveis por pessoa jurídica. Holdings patrimoniais e empresas com atividades múltiplas. PIS e Cofins até 31/12/2026. Obrigação de emissão de documento fiscal eletrônico a partir de 1/8/2026. Incidência efetiva da CBS em 1/1/2027 e correspondente extinção do PIS e da Cofins. Redução de 70% da alíquota da CBS para a locação de bem imóvel, redutor social na locação residencial e creditamento pelo locatário. Estimativa de 6% para a alíquota cheia da CBS em 2027 e 2028. Demonstrativo numérico sobre receita mensal de R$ 100.000,00.</w:t>
      </w:r>
    </w:p>
    <w:p>
      <w:pPr>
        <w:spacing w:after="120" w:before="240" w:line="312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I. Regime do PIS e da Cofins na locação por pessoa jurídica em 2026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Até 31 de dezembro de 2026, a locação de imóveis por pessoa jurídica continua submetida ao regime do PIS e da Cofins na forma já consolidada. No Lucro Presumido, a base é a receita bruta da locação e as alíquotas combinadas somam 3,65% (0,65% de PIS e 3% de Cofins), sem direito a crédito. No Lucro Real, a tributação alcança 9,25% (1,65% de PIS e 7,6% de Cofins), com a possibilidade de tomada de créditos limitada pela legislação ordinária e pelas Soluções de Consulta da Receita Federal.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locação imobiliária permanece, portanto, com a mesma carga conhecida em 2026, sem alteração de regime e sem antecipação de obrigações financeiras da CBS. Entre 1/8/2026 e 31/12/2026, a CBS coexiste com o PIS e a Cofins apenas para fins de teste, com alíquota simbólica de 0,9% de CBS, somada ao IBS de 0,1% (totalizando 1% na fase de testes), e aproveitamento integral contra o PIS e a Cofins, conforme a LC 214/2025 e o Decreto 12.955/2026.</w:t>
      </w:r>
    </w:p>
    <w:p>
      <w:pPr>
        <w:spacing w:after="120" w:before="240" w:line="312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II. Início da fase de transição: emissão de documento fiscal a partir de 1/8/2026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LC 214/2025 estabelece o documento fiscal eletrônico como obrigatório para todas as operações sujeitas à CBS e ao IBS. O Decreto 12.955, de 29 de abril de 2026, fixou o início da exigência para 1/8/2026, alcançando a locação de imóveis prestada por pessoa jurídica.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partir dessa data, toda PJ locadora — inclusive holdings patrimoniais cuja única atividade é alugar imóveis próprios — deve emitir Nota Fiscal de Serviços eletrônica (NFS-e) ou o documento equivalente definido pelo município, com destaque do CBS na alíquota simbólica de 0,9% e do IBS na alíquota simbólica de 0,1%, totalizando 1% na fase de testes (1/8/2026 a 31/12/2026). A obrigação alcança também as empresas que exercem outras atividades e mantêm imóveis em locação como atividade acessória, ainda que a receita seja contabilizada em conta separada.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Resolução CGIBS 6, de 30 de abril de 2026, padronizou os leiautes e os códigos de serviço para o IBS, em estrutura simétrica à da CBS, o que reforça a integração do documento único para os dois tributos.</w:t>
      </w:r>
    </w:p>
    <w:p>
      <w:pPr>
        <w:spacing w:after="120" w:before="240" w:line="312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III. Tipologia das pessoas jurídicas locadoras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III.1. Holdings patrimoniais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Holdings que têm por objeto exclusivo a administração de bens próprios e a locação são, na prática, as locadoras mais frequentes no segmento imobiliário. Em 2026 permanecem no regime do PIS e da Cofins, em geral pelo Lucro Presumido. Em 1/1/2027, a tributação migra integralmente para a CBS, com aplicação da redução de 70% prevista para o regime específico de bens imóveis. A holding deve, desde 1/8/2026, emitir documento fiscal eletrônico para cada operação de locação.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III.2. Empresas com outras operações que também alugam imóveis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Empresas que exercem atividades operacionais e mantêm imóveis em locação seguem o mesmo cronograma. A CBS é apurada por estabelecimento, com segregação por código de serviço. A receita de locação é tratada no regime específico de bens imóveis (com a redução de 70%), enquanto as demais receitas seguem o regime regular do CBS, com alíquota cheia. Em ambos os casos, a obrigação acessória — emissão de documento fiscal eletrônico — vale para todas as operações, inclusive a locação.</w:t>
      </w:r>
    </w:p>
    <w:p>
      <w:pPr>
        <w:spacing w:after="120" w:before="240" w:line="312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IV. CBS efetivo em 1/1/2027 e extinção do PIS e da Cofins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Em 1/1/2027 a CBS passa a ser cobrada com a alíquota cheia, e o PIS e a Cofins são extintos para todas as pessoas jurídicas, na forma do art. 343 e seguintes da LC 214/2025 e do art. 2º do Decreto 12.955/2026. A locação por PJ deixa de recolher PIS e Cofins e passa a recolher exclusivamente a CBS, observados o regime específico e os benefícios aplicáveis.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apuração é mensal e o vencimento ocorre no mês seguinte ao do fato gerador. O recolhimento pode ser centralizado no estabelecimento matriz, mediante opção do contribuinte, conforme o Decreto 12.955/2026.</w:t>
      </w:r>
    </w:p>
    <w:p>
      <w:pPr>
        <w:spacing w:after="120" w:before="240" w:line="312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V. Alíquota estimada, redução de 70% e redutor social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Para 2027 e 2028, a alíquota cheia da CBS está estimada em 6%, com base nas projeções oficiais do Ministério da Fazenda divulgadas no curso da regulamentação. A LC 214/2025 prevê redução de 70% da alíquota para a locação de bem imóvel — beneficiando residencial e não residencial sob o regime específico — o que conduz a uma alíquota efetiva de 1,8% sobre a receita.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Na locação residencial, soma-se a essa redução o redutor social de até R$ 600,00 mensais por unidade locada, abatido diretamente do CBS apurado, desde que cumpridos os requisitos da LC 214/2025 e da regulamentação. O Decreto 12.955/2026 detalha o controle do redutor por unidade, com vinculação ao cadastro do imóvel e à identificação do locatário.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Para a locação não residencial (comercial, industrial, salas e galpões), aplica-se a redução de 70%, mas não há redutor social, por se tratar de benefício específico para fins residenciais.</w:t>
      </w:r>
    </w:p>
    <w:p>
      <w:pPr>
        <w:spacing w:after="120" w:before="240" w:line="312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VI. Creditamento do CBS pelo locatário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LC 214/2025 admite o crédito do CBS pelo locatário pessoa jurídica que utilize o imóvel em sua atividade econômica sujeita ao CBS. O crédito corresponde ao valor destacado no documento fiscal emitido pelo locador, ou seja, ao CBS efetivamente apurado após a redução de 70%.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Na prática, locatários comerciais (escritórios, lojas, indústrias, galpões logísticos) terão direito ao crédito de 1,8% sobre o valor do aluguel, o que reduz o custo tributário líquido da operação. O Decreto 12.955/2026 vincula a tomada do crédito ao destaque correto da CBS no documento fiscal e ao cumprimento das obrigações acessórias pelo locador.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Resolução CGIBS 6/2026, embora dirigida ao IBS, traz a mesma lógica de creditamento, em estrutura simétrica, o que produz, em conjunto com a CBS, redução relevante do custo da locação para o locatário PJ que possa apropriar os créditos.</w:t>
      </w:r>
    </w:p>
    <w:p>
      <w:pPr>
        <w:spacing w:after="120" w:before="240" w:line="312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VII. Demonstrativo comparativo: tributação atual (2026) versus CBS (2027)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quadro a seguir compara a carga sobre receita mensal de R$ 100.000,00 de locação por pessoa jurídica, no regime do Lucro Presumido em 2026, com o cenário de 2027 sob o CBS de 6% e redução de 70% (alíquota efetiva de 1,8%):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FFFFFF"/>
                <w:sz w:val="24"/>
                <w:szCs w:val="24"/>
              </w:rPr>
              <w:t xml:space="preserve">Item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FFFFFF"/>
                <w:sz w:val="24"/>
                <w:szCs w:val="24"/>
              </w:rPr>
              <w:t xml:space="preserve">2026 (PIS/Cofins)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FFFFFF"/>
                <w:sz w:val="24"/>
                <w:szCs w:val="24"/>
              </w:rPr>
              <w:t xml:space="preserve">2027 (CBS - 6% c/ redução de 70%)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Receita mensal de locação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righ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R$ 100.000,00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righ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R$ 100.000,00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Regime tributário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Lucro Presumido (PIS 0,65% + Cofins 3%)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CBS — alíquota cheia estimada de 6%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Alíquota nominal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righ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3,65%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righ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6,00%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Redução do regime específico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Não aplicável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70% (locação de bem imóvel)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Alíquota efetiva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righ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3,65%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righ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1,80%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Tributo bruto mensal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righ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R$ 3.650,00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righ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R$ 1.800,00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Redutor social (residencial, por unidade)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Não aplicável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Até R$ 600,00 por unidade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Carga mensal final (sem redutor social)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righ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R$ 3.650,00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righ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R$ 1.800,00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Variação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—</w:t>
            </w:r>
          </w:p>
        </w:tc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righ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Redução de R$ 1.850,00 (-50,68%)</w:t>
            </w:r>
          </w:p>
        </w:tc>
      </w:tr>
    </w:tbl>
    <w:p>
      <w:pPr>
        <w:spacing w:after="120" w:before="24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Os números acima desconsideram o redutor social aplicável à locação residencial e os créditos de CBS aproveitáveis pelo locatário pessoa jurídica. Considerados esses ajustes, a carga líquida em 2027 tende a ser ainda menor.</w:t>
      </w:r>
    </w:p>
    <w:p>
      <w:pPr>
        <w:spacing w:after="120" w:before="240" w:line="312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VIII. Comparativo entre LC 214/2025, Decreto 12.955/2026 e Resolução CGIBS 6/2026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quadro abaixo sintetiza o tratamento da locação por pessoa jurídica nos três atos centrais da Reforma: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320"/>
        <w:gridCol w:w="2320"/>
        <w:gridCol w:w="2320"/>
      </w:tblGrid>
      <w:tr>
        <w:trPr>
          <w:tblHeader/>
        </w:trPr>
        <w:tc>
          <w:tcPr>
            <w:tcW w:type="dxa" w:w="24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FFFFFF"/>
                <w:sz w:val="24"/>
                <w:szCs w:val="24"/>
              </w:rPr>
              <w:t xml:space="preserve">Tema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FFFFFF"/>
                <w:sz w:val="24"/>
                <w:szCs w:val="24"/>
              </w:rPr>
              <w:t xml:space="preserve">LC 214/2025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FFFFFF"/>
                <w:sz w:val="24"/>
                <w:szCs w:val="24"/>
              </w:rPr>
              <w:t xml:space="preserve">Decreto 12.955/2026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FFFFFF"/>
                <w:sz w:val="24"/>
                <w:szCs w:val="24"/>
              </w:rPr>
              <w:t xml:space="preserve">Resolução CGIBS 6/2026</w:t>
            </w:r>
          </w:p>
        </w:tc>
      </w:tr>
      <w:tr>
        <w:tc>
          <w:tcPr>
            <w:tcW w:type="dxa" w:w="24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Sujeito passivo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Locador PJ é contribuinte do regime regular de bens imóveis.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Detalha o cadastro do imóvel e a habilitação como contribuinte da CBS.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Trata especificamente do IBS, mas confirma critérios de habilitação que servem de referência.</w:t>
            </w:r>
          </w:p>
        </w:tc>
      </w:tr>
      <w:tr>
        <w:tc>
          <w:tcPr>
            <w:tcW w:type="dxa" w:w="24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Documento fiscal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Exige documento fiscal eletrônico para todas as operações.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Define a NFS-e como documento fiscal padrão para locação de imóveis a partir de 1/8/2026.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Padroniza leiautes e códigos para o IBS.</w:t>
            </w:r>
          </w:p>
        </w:tc>
      </w:tr>
      <w:tr>
        <w:tc>
          <w:tcPr>
            <w:tcW w:type="dxa" w:w="24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Apuração e recolhimento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Apuração mensal, com possibilidade de centralização.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Confirma a apuração mensal e o início do recolhimento da CBS em 1/1/2027.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Disciplina o split payment do IBS, em coordenação com o regime da CBS.</w:t>
            </w:r>
          </w:p>
        </w:tc>
      </w:tr>
      <w:tr>
        <w:tc>
          <w:tcPr>
            <w:tcW w:type="dxa" w:w="24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Redução de alíquota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Redução de 70% para locação de bens imóveis.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Reproduz a redução de 70% e detalha sua aplicação na base de cálculo.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Não trata da CBS; aplica a mesma lógica para o IBS.</w:t>
            </w:r>
          </w:p>
        </w:tc>
      </w:tr>
      <w:tr>
        <w:tc>
          <w:tcPr>
            <w:tcW w:type="dxa" w:w="24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Redutor social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Permite redutor de até R$ 600,00 mensais para locação residencial, observados os requisitos.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Disciplina a forma de cálculo e o controle por unidade locada.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Estabelece os parâmetros de identificação da unidade no IBS, úteis para a fruição do redutor.</w:t>
            </w:r>
          </w:p>
        </w:tc>
      </w:tr>
      <w:tr>
        <w:tc>
          <w:tcPr>
            <w:tcW w:type="dxa" w:w="24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000000"/>
                <w:sz w:val="24"/>
                <w:szCs w:val="24"/>
              </w:rPr>
              <w:t xml:space="preserve">Creditamento pelo locatário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Permite o crédito da CBS quando o locatário utilizar o imóvel em sua atividade econômica sujeita à CBS.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Detalha a vinculação do crédito ao destaque da CBS no documento fiscal.</w:t>
            </w:r>
          </w:p>
        </w:tc>
        <w:tc>
          <w:tcPr>
            <w:tcW w:type="dxa" w:w="23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76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4"/>
                <w:szCs w:val="24"/>
              </w:rPr>
              <w:t xml:space="preserve">Trata do crédito do IBS, em estrutura simétrica.</w:t>
            </w:r>
          </w:p>
        </w:tc>
      </w:tr>
    </w:tbl>
    <w:p>
      <w:pPr>
        <w:spacing w:after="120" w:before="240" w:line="312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IX. Conclusão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locação de imóveis por pessoa jurídica sai favorecida na transição para o CBS. Em 2026 mantém-se a tributação atual de PIS e Cofins, sem alteração de carga. A partir de 1/8/2026 passa a ser obrigatória a emissão de documento fiscal eletrônico, com destaque da CBS em alíquota simbólica de 0,9%. Em 1/1/2027 ocorre a transição definitiva: extinguem-se o PIS e a Cofins e a CBS passa a ser cobrada com alíquota cheia estimada em 6%, reduzida em 70% para a locação de imóvel, o que resulta em alíquota efetiva de 1,8% sobre a receita.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Em receita mensal de R$ 100.000,00, a carga cai de R$ 3.650,00 (Lucro Presumido em 2026) para R$ 1.800,00 em 2027 — redução de 50,68% — antes da aplicação do redutor social residencial e dos créditos de CBS pelo locatário.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Para os anos de 2027 e 2028, portanto, há redução efetiva da carga fiscal sobre as locadoras pessoa jurídica, em algo que se estima ser 1,8% do faturamento decorrente da locação de bem imóvel — resultado da aplicação da alíquota cheia de 6% combinada com a redução de 70% prevista para o regime específico. Esse percentual pode ser ainda menor quando aplicáveis o redutor social na locação residencial e o aproveitamento do crédito do CBS pelo locatário.</w:t>
      </w:r>
    </w:p>
    <w:p>
      <w:pPr>
        <w:spacing w:after="120" w:before="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holding patrimonial e a empresa com atividade múltipla devem, desde já: (a) revisar o cadastro do imóvel e a habilitação da PJ para fins do CBS; (b) ajustar o sistema de emissão de NFS-e para começar a destacar o CBS em 1/8/2026; (c) revisar contratos de locação para esclarecer quem suporta o eventual repasse do tributo; e (d) avaliar com o locatário a apropriação do crédito do CBS, que se torna fator relevante na negociação do valor do aluguel a partir de 2027.</w:t>
      </w:r>
    </w:p>
    <w:p>
      <w:pPr>
        <w:spacing w:after="0" w:before="600" w:line="312"/>
        <w:ind w:left="0" w:right="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/>
      </w:r>
    </w:p>
    <w:p>
      <w:pPr>
        <w:spacing w:after="0" w:before="240" w:line="312"/>
        <w:ind w:left="0" w:right="0"/>
        <w:jc w:val="center"/>
      </w:pPr>
      <w:r>
        <w:rPr>
          <w:rFonts w:ascii="Palatino Linotype" w:cs="Palatino Linotype" w:eastAsia="Palatino Linotype" w:hAnsi="Palatino Linotype"/>
          <w:b/>
          <w:bCs/>
          <w:i w:val="false"/>
          <w:iCs w:val="false"/>
          <w:color w:val="000000"/>
          <w:sz w:val="24"/>
          <w:szCs w:val="24"/>
        </w:rPr>
        <w:t xml:space="preserve">Piraci Oliveira</w:t>
      </w:r>
    </w:p>
    <w:p>
      <w:pPr>
        <w:spacing w:after="0" w:before="0" w:line="312"/>
        <w:ind w:left="0" w:right="0"/>
        <w:jc w:val="center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OAB/SP 200.270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 w:line="240"/>
      <w:jc w:val="center"/>
    </w:pPr>
    <w:r>
      <w:rPr>
        <w:rFonts w:ascii="Palatino Linotype" w:cs="Palatino Linotype" w:eastAsia="Palatino Linotype" w:hAnsi="Palatino Linotype"/>
        <w:color w:val="000000"/>
        <w:sz w:val="18"/>
        <w:szCs w:val="18"/>
      </w:rPr>
      <w:t xml:space="preserve">piraci@piraci.com.br  |  piraciadv.blog  |  @piracioliveira (instagram)</w:t>
    </w:r>
  </w:p>
  <w:p>
    <w:pPr>
      <w:spacing w:after="0" w:before="0" w:line="240"/>
      <w:jc w:val="center"/>
    </w:pPr>
    <w:r>
      <w:rPr>
        <w:rFonts w:ascii="Palatino Linotype" w:cs="Palatino Linotype" w:eastAsia="Palatino Linotype" w:hAnsi="Palatino Linotype"/>
        <w:color w:val="000000"/>
        <w:sz w:val="18"/>
        <w:szCs w:val="18"/>
      </w:rPr>
      <w:t xml:space="preserve">Página </w:t>
    </w:r>
    <w:r>
      <w:rPr>
        <w:rFonts w:ascii="Palatino Linotype" w:cs="Palatino Linotype" w:eastAsia="Palatino Linotype" w:hAnsi="Palatino Linotype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Palatino Linotype" w:cs="Palatino Linotype" w:eastAsia="Palatino Linotype" w:hAnsi="Palatino Linotype"/>
        <w:color w:val="000000"/>
        <w:sz w:val="18"/>
        <w:szCs w:val="18"/>
      </w:rPr>
      <w:t xml:space="preserve"> de </w:t>
    </w:r>
    <w:r>
      <w:rPr>
        <w:rFonts w:ascii="Palatino Linotype" w:cs="Palatino Linotype" w:eastAsia="Palatino Linotype" w:hAnsi="Palatino Linotype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0000" w:sz="6" w:space="4"/>
      </w:pBdr>
      <w:spacing w:after="0" w:before="0" w:line="240"/>
      <w:jc w:val="center"/>
    </w:pPr>
    <w:r>
      <w:rPr>
        <w:rFonts w:ascii="Palatino Linotype" w:cs="Palatino Linotype" w:eastAsia="Palatino Linotype" w:hAnsi="Palatino Linotype"/>
        <w:b/>
        <w:bCs/>
        <w:color w:val="000000"/>
        <w:sz w:val="28"/>
        <w:szCs w:val="28"/>
      </w:rPr>
      <w:t xml:space="preserve">PIRACI OLIVEIRA</w:t>
    </w:r>
    <w:r>
      <w:rPr>
        <w:rFonts w:ascii="Palatino Linotype" w:cs="Palatino Linotype" w:eastAsia="Palatino Linotype" w:hAnsi="Palatino Linotype"/>
        <w:color w:val="000000"/>
        <w:sz w:val="24"/>
        <w:szCs w:val="24"/>
      </w:rPr>
      <w:t xml:space="preserve">  •  </w:t>
    </w:r>
    <w:r>
      <w:rPr>
        <w:rFonts w:ascii="Palatino Linotype" w:cs="Palatino Linotype" w:eastAsia="Palatino Linotype" w:hAnsi="Palatino Linotype"/>
        <w:i/>
        <w:iCs/>
        <w:color w:val="000000"/>
        <w:sz w:val="22"/>
        <w:szCs w:val="22"/>
      </w:rPr>
      <w:t xml:space="preserve">Sociedade de Advogados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cs="Palatino Linotype" w:eastAsia="Palatino Linotype" w:hAnsi="Palatino Linotype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Piraci Oliveira</dc:creator>
  <cp:lastModifiedBy>Un-named</cp:lastModifiedBy>
  <cp:revision>1</cp:revision>
  <dcterms:created xsi:type="dcterms:W3CDTF">2026-05-02T14:58:38.635Z</dcterms:created>
  <dcterms:modified xsi:type="dcterms:W3CDTF">2026-05-02T14:58:38.635Z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