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32"/>
          <w:szCs w:val="32"/>
        </w:rPr>
        <w:t xml:space="preserve">PARECER JURÍDICO</w:t>
      </w:r>
    </w:p>
    <w:p>
      <w:pPr>
        <w:spacing w:after="12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Clínica médica com sócia única pessoa jurídica de holding pura — viabilidade societária, regulatória e tributária</w:t>
      </w:r>
    </w:p>
    <w:p>
      <w:pPr>
        <w:spacing w:after="120"/>
        <w:jc w:val="center"/>
      </w:pPr>
      <w:r>
        <w:rPr>
          <w:rFonts w:ascii="Palatino Linotype" w:cs="Palatino Linotype" w:eastAsia="Palatino Linotype" w:hAnsi="Palatino Linotype"/>
          <w:i/>
          <w:iCs/>
          <w:color w:val="000000"/>
          <w:sz w:val="22"/>
          <w:szCs w:val="22"/>
        </w:rPr>
        <w:t xml:space="preserve">Resolução CFM nº 2.397/2023 — Código Civil, art. 50 — Lei nº 9.249/1995, art. 10 — Lei nº 13.874/2019</w:t>
      </w:r>
    </w:p>
    <w:p>
      <w:pPr>
        <w:spacing w:after="240"/>
        <w:jc w:val="center"/>
      </w:pPr>
      <w:r>
        <w:rPr>
          <w:rFonts w:ascii="Palatino Linotype" w:cs="Palatino Linotype" w:eastAsia="Palatino Linotype" w:hAnsi="Palatino Linotype"/>
          <w:color w:val="000000"/>
          <w:sz w:val="22"/>
          <w:szCs w:val="22"/>
        </w:rPr>
        <w:t xml:space="preserve">São Paulo, 09 de maio de 2026</w:t>
      </w:r>
    </w:p>
    <w:p>
      <w:pPr>
        <w:pBdr>
          <w:bottom w:val="single" w:color="000000" w:sz="4" w:space="1"/>
        </w:pBdr>
        <w:spacing w:after="200" w:before="80"/>
      </w:pPr>
      <w:r>
        <w:rPr>
          <w:rFonts w:ascii="Palatino Linotype" w:cs="Palatino Linotype" w:eastAsia="Palatino Linotype" w:hAnsi="Palatino Linotype"/>
          <w:sz w:val="24"/>
          <w:szCs w:val="24"/>
        </w:rPr>
        <w:t xml:space="preserve"/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1. Proposta apresentada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Submete-se à análise a viabilidade jurídica de constituir clínica médica cuja única sócia seja pessoa jurídica de holding pura, registrada nos CNAEs 64.62-0-00 (holdings de instituições não financeiras) e 64.63-8-00 (outras sociedades de participação, exceto holdings). Pretende-se, ainda, examinar se a estrutura sujeita-se ao risco de desconsideração da personalidade jurídica e à requalificação dos lucros distribuídos como rendimentos tributáveis na pessoa física dos médicos.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análise abrange três planos: o societário-registral, o ético-profissional (CRM/CFM) e o tributário federal. As conclusões foram extraídas do Parecer CFM nº 55/2020, do art. 50 do Código Civil, da Lei da Liberdade Econômica (Lei nº 13.874/2019), do art. 10 da Lei nº 9.249/1995 e da jurisprudência consolidada do CARF e do Superior Tribunal de Justiça.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2. Aspectos societários e regulatórios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2.1. Admissibilidade da pessoa jurídica como sócia única da clínica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sociedade limitada admite, no regime atual, sócio único sob a forma de sociedade limitada unipessoal (Código Civil, art. 1.052, §§ 1º e 2º, com redação dada pela Lei nº 13.874/2019). Tal sócio pode ser pessoa física ou jurídica, sem restrição quanto à natureza da atividade desta última. A holding pura, por exercer atividade de participação em outras sociedades, é candidata regular à condição de quotista única da clínica operacional.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registro perante a Junta Comercial, basta que o objeto social da clínica descreva a prestação de serviços médicos e que o quadro societário indique a holding como titular de 100% das quotas. Não há exigência legal para que a sócia-pessoa jurídica inclua atividade médica em seu objeto: quem presta o serviço e responde tecnicamente é a sociedade operacional.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2.2. Exigências do CRM/CFM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Conselho Federal de Medicina, no Parecer-Consulta nº 55/2020, examinou hipótese idêntica e firmou o entendimento de que não há óbice ético-profissional a que pessoa jurídica de holding figure como sócia única de clínica médica. A exigência central reside na existência de responsável técnico médico regularmente inscrito no CRM e no registro da própria pessoa jurídica prestadora dos serviços médicos perante o Conselho Regional, nos termos da Resolução CFM nº 2.397/2023 (que disciplina o registro e o funcionamento das pessoas jurídicas que prestam serviços médicos).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Em síntese, o controle do CRM/CFM recai sobre quem presta o serviço (a clínica e o médico responsável técnico), e não sobre a composição patrimonial das quotas. A holding, na qualidade de sócia, não exerce atos privativos de médico e, por isso, não precisa figurar no registro do Conselho.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3. Risco de desconsideração da personalidade jurídica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desconsideração da personalidade jurídica está disciplinada no art. 50 do Código Civil, na redação dada pela Lei nº 13.874/2019:</w:t>
      </w:r>
    </w:p>
    <w:p>
      <w:pPr>
        <w:spacing w:after="200" w:before="120" w:line="276" w:lineRule="auto"/>
        <w:ind w:left="1134" w:right="1134"/>
        <w:jc w:val="both"/>
      </w:pPr>
      <w:r>
        <w:rPr>
          <w:rFonts w:ascii="Palatino Linotype" w:cs="Palatino Linotype" w:eastAsia="Palatino Linotype" w:hAnsi="Palatino Linotype"/>
          <w:i/>
          <w:iCs/>
          <w:color w:val="000000"/>
          <w:sz w:val="24"/>
          <w:szCs w:val="24"/>
        </w:rPr>
        <w:t xml:space="preserve">"Art. 50. Em caso de abuso da personalidade jurídica, caracterizado pelo desvio de finalidade ou pela confusão patrimonial, pode o juiz, a requerimento da parte ou do Ministério Público quando lhe couber intervir no processo, desconsiderá-la para que os efeitos de certas e determinadas relações de obrigações sejam estendidos aos bens particulares de administradores ou de sócios da pessoa jurídica beneficiados direta ou indiretamente pelo abuso."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jurisprudência do Superior Tribunal de Justiça é firme no sentido de que a desconsideração exige prova concreta de abuso (REsp 1.900.843/SP, Rel. Min. Nancy Andrighi, j. 03/03/2021) e não decorre da simples utilização da pessoa jurídica como instrumento de planejamento patrimonial. A constituição de holding como sócia de sociedade operacional, modelo amplamente difundido para fins sucessórios e de proteção patrimonial, não configura, por si, desvio de finalidade.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confusão patrimonial, por sua vez, demanda evidências objetivas: pagamentos de despesas pessoais por conta da pessoa jurídica, ausência de escrituração regular, transferências sem causa entre sócio e sociedade ou utilização de contas bancárias indistintas. Ausentes esses elementos, a estrutura holding-clínica é tida como legítima.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4. Tratamento tributário dos lucros distribuídos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 art. 10 da Lei nº 9.249/1995 isenta de imposto de renda os lucros e dividendos distribuídos pelas pessoas jurídicas tributadas com base no lucro real, presumido ou arbitrado. A clínica, ao apurar lucro líquido conforme escrituração regular, distribui-o à holding como dividendo isento; a holding, por sua vez, repassa o montante aos sócios pessoas físicas, também sob o regime da isenção, desde que respeitada a competência da apuração contábil.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Receita Federal, contudo, vem requalificando rendimentos distribuídos quando identifica simulação ou ausência de substância. Os precedentes mais relevantes do CARF (Acórdãos 9101-005.330 e 1402-005.876) indicam que a fiscalização exige: (i) existência de estrutura operacional efetiva (instalações, contratos, equipe); (ii) pagamento de pró-labore aos sócios que efetivamente prestam serviço; (iii) escrituração contábil que segregue receita operacional de eventual remuneração de capital; e (iv) ausência de retiradas pessoais travestidas de distribuição de lucros.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Não basta, portanto, a regularidade formal: a estrutura precisa ter substância econômica. Quando o médico, sócio indireto via holding, presta pessoalmente o serviço sem qualquer contraprestação a título de pró-labore, e a clínica não detém estrutura compatível com a atividade, a fiscalização pode requalificar a distribuição de lucros como remuneração do trabalho, sujeitando-a à tabela progressiva e à contribuição previdenciária.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5. Cuidados recomendados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Para preservar a legitimidade da estrutura e reduzir o risco de desconsideração ou requalificação tributária, recomendam-se as seguintes providências: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Primeiro, manter contabilidades, contas bancárias e endereços fiscais distintos entre clínica e holding, com registro formal de contratos de mútuo, de prestação de serviços intercompany e de distribuição de lucros. Segundo, dotar a clínica de estrutura operacional compatível com a atividade desempenhada — contratos com médicos prestadores, instalações, alvará sanitário e, quando aplicável, registro na Vigilância Sanitária e na ANVISA. Terceiro, atribuir pró-labore aos médicos sócios (diretos ou indiretos) que efetivamente atuem na clínica, em valor compatível com a função e com o mercado. Quarto, formalizar contrato social que descreva o objeto da clínica (prestação de serviços médicos) e o objeto da holding (participação em outras sociedades e gestão de ativos), evitando descompasso entre realidade e registro.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Recomenda-se, ainda, elaborar acordo de quotistas que estabeleça regras de distribuição de lucros, ingresso e retirada de sócios e sucessão patrimonial, sobretudo quando a estrutura tiver finalidade sucessória.</w:t>
      </w:r>
    </w:p>
    <w:p>
      <w:pPr>
        <w:spacing w:after="360" w:before="480" w:line="276" w:lineRule="auto"/>
        <w:jc w:val="left"/>
      </w:pPr>
      <w:r>
        <w:rPr>
          <w:rFonts w:ascii="Palatino Linotype" w:cs="Palatino Linotype" w:eastAsia="Palatino Linotype" w:hAnsi="Palatino Linotype"/>
          <w:b/>
          <w:bCs/>
          <w:color w:val="000000"/>
          <w:sz w:val="26"/>
          <w:szCs w:val="26"/>
        </w:rPr>
        <w:t xml:space="preserve">6. Conclusão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Diante das premissas examinadas, conclui-se que: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(i) é juridicamente admissível a constituição de clínica médica cuja única sócia seja pessoa jurídica de holding pura, registrada nos CNAEs 64.62-0-00 e 64.63-8-00, observada a inscrição da clínica e do responsável técnico médico no CRM, conforme Resolução CFM nº 2.397/2023 e Parecer CFM nº 55/2020;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(ii) a estrutura, por si, não autoriza a desconsideração da personalidade jurídica nem a requalificação dos lucros distribuídos como rendimentos do trabalho, exigindo a fiscalização prova concreta de abuso, simulação ou confusão patrimonial, nos termos do art. 50 do Código Civil;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(iii) os lucros apurados pela clínica e distribuídos à holding, e desta aos sócios pessoas físicas, permanecem alcançados pela isenção do art. 10 da Lei nº 9.249/1995, desde que sustentados por escrituração contábil regular, substância operacional e pagamento de pró-labore aos sócios que efetivamente prestam serviços; e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(iv) os cuidados elencados no item 5 são suficientes, em condições normais, para afastar o risco de questionamento fiscal e a responsabilização patrimonial dos sócios pessoas físicas.</w:t>
      </w:r>
    </w:p>
    <w:p>
      <w:pPr>
        <w:spacing w:after="160" w:line="276" w:lineRule="auto"/>
        <w:jc w:val="both"/>
      </w:pPr>
      <w:r>
        <w:rPr>
          <w:rFonts w:ascii="Palatino Linotype" w:cs="Palatino Linotype" w:eastAsia="Palatino Linotype" w:hAnsi="Palatino Linotype"/>
          <w:b w:val="false"/>
          <w:bCs w:val="false"/>
          <w:i w:val="false"/>
          <w:iCs w:val="false"/>
          <w:color w:val="000000"/>
          <w:sz w:val="24"/>
          <w:szCs w:val="24"/>
        </w:rPr>
        <w:t xml:space="preserve">É o parecer, salvo melhor juízo.</w:t>
      </w:r>
    </w:p>
    <w:p>
      <w:pPr>
        <w:spacing w:before="600"/>
      </w:pPr>
      <w:r>
        <w:rPr>
          <w:rFonts w:ascii="Palatino Linotype" w:cs="Palatino Linotype" w:eastAsia="Palatino Linotype" w:hAnsi="Palatino Linotype"/>
          <w:sz w:val="24"/>
          <w:szCs w:val="24"/>
        </w:rPr>
        <w:t xml:space="preserve"/>
      </w:r>
    </w:p>
    <w:p>
      <w:pPr>
        <w:spacing w:after="120" w:before="120"/>
        <w:jc w:val="center"/>
      </w:pPr>
      <w:r>
        <w:rPr>
          <w:rFonts w:ascii="Palatino Linotype" w:cs="Palatino Linotype" w:eastAsia="Palatino Linotype" w:hAnsi="Palatino Linotype"/>
          <w:b/>
          <w:bCs/>
          <w:color w:val="000000"/>
          <w:sz w:val="24"/>
          <w:szCs w:val="24"/>
        </w:rPr>
        <w:t xml:space="preserve">Piraci Oliveira</w:t>
      </w:r>
    </w:p>
    <w:p>
      <w:pPr>
        <w:spacing w:after="120"/>
        <w:jc w:val="center"/>
      </w:pPr>
      <w:r>
        <w:rPr>
          <w:rFonts w:ascii="Palatino Linotype" w:cs="Palatino Linotype" w:eastAsia="Palatino Linotype" w:hAnsi="Palatino Linotype"/>
          <w:color w:val="000000"/>
          <w:sz w:val="24"/>
          <w:szCs w:val="24"/>
        </w:rPr>
        <w:t xml:space="preserve">OAB/SP 200.270</w:t>
      </w:r>
    </w:p>
    <w:sectPr>
      <w:headerReference w:type="default" r:id="rId7"/>
      <w:footerReference w:type="default" r:id="rId8"/>
      <w:pgSz w:w="11906" w:h="16838" w:orient="portrait"/>
      <w:pgMar w:top="1797" w:right="1134" w:bottom="1599" w:left="1701" w:header="709" w:footer="709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4" w:space="1"/>
      </w:pBdr>
      <w:spacing w:before="60"/>
      <w:jc w:val="center"/>
    </w:pPr>
    <w:r>
      <w:rPr>
        <w:rFonts w:ascii="Palatino Linotype" w:cs="Palatino Linotype" w:eastAsia="Palatino Linotype" w:hAnsi="Palatino Linotype"/>
        <w:color w:val="000000"/>
        <w:sz w:val="16"/>
        <w:szCs w:val="16"/>
      </w:rPr>
      <w:t xml:space="preserve">Av. Marquês de São Vicente, 2219, Conj. 216 – Água Branca – CEP 05036-040 – São Paulo/SP</w:t>
    </w:r>
  </w:p>
  <w:p>
    <w:pPr>
      <w:jc w:val="center"/>
    </w:pPr>
    <w:r>
      <w:rPr>
        <w:rFonts w:ascii="Palatino Linotype" w:cs="Palatino Linotype" w:eastAsia="Palatino Linotype" w:hAnsi="Palatino Linotype"/>
        <w:color w:val="000000"/>
        <w:sz w:val="16"/>
        <w:szCs w:val="16"/>
      </w:rPr>
      <w:t xml:space="preserve">piraci@piraci.com.br  |  piraciadv.blog  |  @piracioliveira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80"/>
      <w:jc w:val="center"/>
    </w:pPr>
    <w:r>
      <w:drawing>
        <wp:inline distT="0" distB="0" distL="0" distR="0">
          <wp:extent cx="1524000" cy="619125"/>
          <wp:effectExtent t="0" r="0" b="0" l="0"/>
          <wp:docPr id="1" name="logo" descr="Piraci Oliveira Advogados" title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r>
      <w:rPr>
        <w:rFonts w:ascii="Palatino Linotype" w:cs="Palatino Linotype" w:eastAsia="Palatino Linotype" w:hAnsi="Palatino Linotype"/>
        <w:sz w:val="16"/>
        <w:szCs w:val="16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cs="Palatino Linotype" w:eastAsia="Palatino Linotype" w:hAnsi="Palatino Linotype"/>
        <w:color w:val="000000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03a5c7d435bcf97312645fe0bea6cf7c8d576c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Jurídico — Clínica médica com holding pura como sócia única</dc:title>
  <dc:creator>Piraci Oliveira Advogados</dc:creator>
  <cp:lastModifiedBy>Un-named</cp:lastModifiedBy>
  <cp:revision>1</cp:revision>
  <dcterms:created xsi:type="dcterms:W3CDTF">2026-05-09T14:26:35.026Z</dcterms:created>
  <dcterms:modified xsi:type="dcterms:W3CDTF">2026-05-09T14:26:35.026Z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