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line="300"/>
        <w:jc w:val="right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São Paulo, 1º de maio de 2026.</w:t>
      </w:r>
    </w:p>
    <w:p>
      <w:pPr>
        <w:spacing w:after="240" w:before="200" w:line="30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PARECER — Locação de imóveis por pessoa física na Reforma Tributária: regime aplicável ao CBS</w:t>
      </w:r>
    </w:p>
    <w:p>
      <w:pPr>
        <w:spacing w:after="160" w:before="240" w:line="30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I. O regime vigente até 31 de julho de 2026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Até 31 de julho de 2026, nada se altera quanto à tributação federal sobre as receitas de locação auferidas por pessoa física. O locador que aluga imóveis próprios não é contribuinte de PIS e Cofins. Tributa-se, no plano federal, somente pelo Imposto de Renda da Pessoa Física, na sistemática do carnê-leão (apuração mensal pelo recebedor) ou na tabela progressiva da declaração anual de ajuste, conforme as regras vigentes desde a Lei nº 7.713/1988.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Esse regime convive, nos sete primeiros meses de 2026, com a fase de teste do CBS e do IBS instituída pela LC 214/2025. Para o locador pessoa física, contudo, a fase de teste produz efeito neutro até a data de virada das obrigações específicas. No intervalo, o locador continua a entregar recibo simples de aluguel quando assim ajustado em contrato, sem qualquer obrigação de inscrição cadastral, escrituração ou emissão de documento fiscal eletrônico.</w:t>
      </w:r>
    </w:p>
    <w:p>
      <w:pPr>
        <w:spacing w:after="160" w:before="240" w:line="30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II. A virada em 1º de agosto de 2026: a hipótese de incidência do CBS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LC 214/2025, em seu Capítulo dos Regimes Específicos para operações com bens imóveis, e o Decreto nº 12.955/2026, no Título dedicado à CBS, fixaram em 1º de agosto de 2026 o início da exigibilidade do CBS sobre receitas de locação auferidas por pessoa física que se enquadre nas hipóteses quantitativas legais. A regra é objetiva: atingidos os pisos de receita e de número de imóveis previstos na LC, a pessoa física é equiparada a contribuinte do tributo, com todas as obrigações principais e acessórias daí decorrentes.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inovação não atinge a totalidade das locações. A LC mantém, para a locação ocasional, a não incidência. O recorte busca alcançar quem desempenha, na prática, atividade econômica habitual de locação, ainda que sob a roupagem civil de pessoa física, o que se afere por dois critérios objetivos abaixo descritos.</w:t>
      </w:r>
    </w:p>
    <w:p>
      <w:pPr>
        <w:spacing w:after="160" w:before="240" w:line="30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III. Critérios objetivos: quando a pessoa física vira contribuinte do CBS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LC 214/2025 fixou dois pisos alternativos. Considera-se contribuinte do CBS o locador pessoa física que, no ano-calendário anterior (2025, para fins do início em agosto de 2026):</w:t>
      </w:r>
    </w:p>
    <w:p>
      <w:pPr>
        <w:spacing w:after="160" w:before="120" w:line="300"/>
        <w:ind w:left="1134" w:right="1134"/>
        <w:jc w:val="both"/>
      </w:pPr>
      <w:r>
        <w:rPr>
          <w:rFonts w:ascii="Palatino Linotype" w:cs="Palatino Linotype" w:eastAsia="Palatino Linotype" w:hAnsi="Palatino Linotype"/>
          <w:i/>
          <w:iCs/>
          <w:color w:val="000000"/>
          <w:sz w:val="24"/>
          <w:szCs w:val="24"/>
        </w:rPr>
        <w:t xml:space="preserve">“auferir receita de locação superior a R$ 240.000,00 e for proprietária ou possuidora de mais de três imóveis distintos destinados à locação; ou, alternativamente, auferir, no próprio ano-calendário corrente (2026), receita de locação superior a R$ 288.000,00, equivalente a vinte por cento acima do piso anterior, independentemente do número de imóveis.”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Decreto 12.955/2026 reproduz os pisos e avança em três pontos. Primeiro, esclarece a forma de apuração da receita, em regime de caixa, com reconhecimento no mês do efetivo recebimento. Segundo, define os critérios para contagem dos imóveis em copropriedade e fração ideal, ponto que a LC havia deixado em aberto. Terceiro, fixa o marco temporal de início das obrigações: o primeiro dia do mês subsequente ao do atingimento do piso, com receita verificada em apuração mensal acumulada.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Atingido o piso, a pessoa física se mantém na condição de contribuinte ainda que, em meses seguintes, a receita arrefeça. Só sai dessa condição em novo ano-calendário em que não se confirme nenhum dos dois critérios.</w:t>
      </w:r>
    </w:p>
    <w:p>
      <w:pPr>
        <w:spacing w:after="160" w:before="240" w:line="30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IV. Inscrição em CNPJ e emissão de nota fiscal eletrônica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condição de contribuinte do CBS exige duas providências antes da primeira operação tributada.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primeira é a inscrição em CNPJ — apelidado, na prática forense, de “CNPJ técnico”. Não há constituição de pessoa jurídica nova. Trata-se de cadastro próprio para fins tributários, que individualiza o locador pessoa física no sistema da Receita Federal e do Comitê Gestor do IBS. O Decreto 12.955/2026 detalhou o procedimento simplificado: pedido eletrônico, dispensa de contrato social, vinculação ao CPF do locador e indicação dos imóveis objeto de locação.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segunda é a emissão de nota fiscal eletrônica de serviços (NFS-e) ou do documento auxiliar do regime específico de bens imóveis, conforme o caso. Cada recebimento de aluguel passa a ser acompanhado por documento fiscal eletrônico, com destaque do CBS pela alíquota aplicável ao período. A obrigação inicia em 1º de agosto de 2026 para os locadores que já tenham, em 2025, atingido o piso. Para os demais, inicia no primeiro dia do mês subsequente ao do atingimento do piso de R$ 288 mil em 2026.</w:t>
      </w:r>
    </w:p>
    <w:p>
      <w:pPr>
        <w:spacing w:after="160" w:before="240" w:line="30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V. Tratamento em 2026, 2027 e 2028: alíquota teste, redução de 70% e redutor social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Em 2026, a fase de teste mantém o CBS em alíquota simbólica, com aproveitamento integral contra o PIS e a Cofins devidos no mesmo período. Para o locador pessoa física que atinge o piso em agosto, o impacto financeiro é residual, mas a obrigação acessória — emissão fiscal e escrituração — passa a ser plena.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partir de 2027, com a extinção do PIS e da Cofins, a alíquota cheia do CBS passa a ser exigida. A LC 214/2025 e o Decreto 12.955/2026 preveem, para a locação de imóvel residencial, redução de 70% da alíquota, o que conduz a carga efetiva equivalente a 30% da alíquota plena. Existe, ainda, redutor social de R$ 600,00 mensais por contrato residencial qualificado, dedutível da base de cálculo, voltado a preservar a locação popular.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Em 2028, a sistemática se mantém: alíquota cheia do CBS, redução residencial de 70% e redutor social de R$ 600,00. O contribuinte pessoa física precisa, desde já, ajustar fluxo de caixa, contratos e cláusulas de repasse para absorver a nova carga sem comprometer a rentabilidade do negócio.</w:t>
      </w:r>
    </w:p>
    <w:p>
      <w:pPr>
        <w:spacing w:after="160" w:before="240" w:line="30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VI. Quadro comparativo: o que o Decreto 12.955/2026 inova frente à LC 214/2025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3672"/>
      </w:tblGrid>
      <w:tr>
        <w:tc>
          <w:tcPr>
            <w:tcW w:type="dxa" w:w="2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1F4E7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FFFFFF"/>
                <w:sz w:val="24"/>
                <w:szCs w:val="24"/>
              </w:rPr>
              <w:t xml:space="preserve">Tema</w:t>
            </w:r>
          </w:p>
        </w:tc>
        <w:tc>
          <w:tcPr>
            <w:tcW w:type="dxa" w:w="3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1F4E7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FFFFFF"/>
                <w:sz w:val="24"/>
                <w:szCs w:val="24"/>
              </w:rPr>
              <w:t xml:space="preserve">LC 214/2025</w:t>
            </w:r>
          </w:p>
        </w:tc>
        <w:tc>
          <w:tcPr>
            <w:tcW w:type="dxa" w:w="3672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1F4E7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FFFFFF"/>
                <w:sz w:val="24"/>
                <w:szCs w:val="24"/>
              </w:rPr>
              <w:t xml:space="preserve">Decreto 12.955/2026 — inovação</w:t>
            </w:r>
          </w:p>
        </w:tc>
      </w:tr>
      <w:tr>
        <w:tc>
          <w:tcPr>
            <w:tcW w:type="dxa" w:w="2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Pisos quantitativos (R$ 240 mil + 3 imóveis; R$ 288 mil)</w:t>
            </w:r>
          </w:p>
        </w:tc>
        <w:tc>
          <w:tcPr>
            <w:tcW w:type="dxa" w:w="3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Define os pisos e a equiparação a contribuinte.</w:t>
            </w:r>
          </w:p>
        </w:tc>
        <w:tc>
          <w:tcPr>
            <w:tcW w:type="dxa" w:w="3672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Reproduz os pisos, fixa apuração mensal acumulada e disciplina contagem em copropriedade e fração ideal.</w:t>
            </w:r>
          </w:p>
        </w:tc>
      </w:tr>
      <w:tr>
        <w:tc>
          <w:tcPr>
            <w:tcW w:type="dxa" w:w="2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CNPJ do locador</w:t>
            </w:r>
          </w:p>
        </w:tc>
        <w:tc>
          <w:tcPr>
            <w:tcW w:type="dxa" w:w="3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Exige inscrição em cadastro próprio.</w:t>
            </w:r>
          </w:p>
        </w:tc>
        <w:tc>
          <w:tcPr>
            <w:tcW w:type="dxa" w:w="3672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Cria o procedimento eletrônico simplificado, vinculado ao CPF, com indicação dos imóveis e dispensa de contrato social.</w:t>
            </w:r>
          </w:p>
        </w:tc>
      </w:tr>
      <w:tr>
        <w:tc>
          <w:tcPr>
            <w:tcW w:type="dxa" w:w="2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Documento fiscal eletrônico</w:t>
            </w:r>
          </w:p>
        </w:tc>
        <w:tc>
          <w:tcPr>
            <w:tcW w:type="dxa" w:w="3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Prevê NFS-e ou documento auxiliar de bens imóveis.</w:t>
            </w:r>
          </w:p>
        </w:tc>
        <w:tc>
          <w:tcPr>
            <w:tcW w:type="dxa" w:w="3672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Define leiaute, forma de transmissão e integração ao ambiente único do CGIBS para operações sob regime específico.</w:t>
            </w:r>
          </w:p>
        </w:tc>
      </w:tr>
      <w:tr>
        <w:tc>
          <w:tcPr>
            <w:tcW w:type="dxa" w:w="2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Apuração do CBS</w:t>
            </w:r>
          </w:p>
        </w:tc>
        <w:tc>
          <w:tcPr>
            <w:tcW w:type="dxa" w:w="3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Fixa alíquota, regime de caixa e creditamento.</w:t>
            </w:r>
          </w:p>
        </w:tc>
        <w:tc>
          <w:tcPr>
            <w:tcW w:type="dxa" w:w="3672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Detalha calendário de recolhimento (último dia útil do mês subsequente) e regime de débito e crédito do locador PF.</w:t>
            </w:r>
          </w:p>
        </w:tc>
      </w:tr>
      <w:tr>
        <w:tc>
          <w:tcPr>
            <w:tcW w:type="dxa" w:w="2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Redução de 70% para locação residencial</w:t>
            </w:r>
          </w:p>
        </w:tc>
        <w:tc>
          <w:tcPr>
            <w:tcW w:type="dxa" w:w="3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Estabelece a redução de alíquota.</w:t>
            </w:r>
          </w:p>
        </w:tc>
        <w:tc>
          <w:tcPr>
            <w:tcW w:type="dxa" w:w="3672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Define o contrato residencial qualificado, exige forma escrita e veda fracionamento abusivo de objeto.</w:t>
            </w:r>
          </w:p>
        </w:tc>
      </w:tr>
      <w:tr>
        <w:tc>
          <w:tcPr>
            <w:tcW w:type="dxa" w:w="2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Redutor social de R$ 600,00 mensais</w:t>
            </w:r>
          </w:p>
        </w:tc>
        <w:tc>
          <w:tcPr>
            <w:tcW w:type="dxa" w:w="3200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Prevê a dedução por contrato residencial.</w:t>
            </w:r>
          </w:p>
        </w:tc>
        <w:tc>
          <w:tcPr>
            <w:tcW w:type="dxa" w:w="3672"/>
            <w:tcBorders>
              <w:top w:val="single" w:color="1F4E79" w:sz="6"/>
              <w:left w:val="single" w:color="1F4E79" w:sz="6"/>
              <w:bottom w:val="single" w:color="1F4E79" w:sz="6"/>
              <w:right w:val="single" w:color="1F4E79" w:sz="6"/>
            </w:tcBorders>
            <w:shd w:fill="D9E2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line="280"/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1F4E79"/>
                <w:sz w:val="24"/>
                <w:szCs w:val="24"/>
              </w:rPr>
              <w:t xml:space="preserve">Disciplina a verificação mensal, o rateio entre coproprietários e o tratamento de imóveis múltiplos no mesmo CPF.</w:t>
            </w:r>
          </w:p>
        </w:tc>
      </w:tr>
    </w:tbl>
    <w:p>
      <w:pPr>
        <w:spacing w:after="160" w:before="240" w:line="300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VII. Conclusão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Para o locador pessoa física, julho de 2026 funciona como marco de fronteira. Até lá, vale o regime hoje conhecido — IRPF e nada de PIS, Cofins ou documento fiscal eletrônico. A partir de 1º de agosto, a pessoa física que atingiu R$ 240 mil em 2025 com mais de três imóveis, ou que venha a atingir R$ 288 mil ao longo de 2026, deverá estar inscrita em CNPJ e emitir nota fiscal a cada recebimento. O Decreto 12.955/2026 não rompe com a LC 214/2025; complementa-a em pontos sensíveis — apuração mensal acumulada, copropriedade, leiaute fiscal, calendário de pagamento e disciplina da redução residencial e do redutor social.</w:t>
      </w:r>
    </w:p>
    <w:p>
      <w:pPr>
        <w:spacing w:after="16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Recomenda-se ao locador pessoa física que, ainda neste segundo trimestre de 2026, levante a receita de 2025, conte os imóveis em locação e projete a receita de 2026. Quem se aproximar dos pisos precisa antecipar a inscrição em CNPJ e estruturar a rotina de emissão fiscal. O calendário não admite improviso, e a fase de teste, embora financeiramente neutra, já cobra organização documental e cadastral plena.</w:t>
      </w:r>
    </w:p>
    <w:p>
      <w:pPr>
        <w:spacing w:before="480"/>
      </w:pPr>
      <w:r>
        <w:rPr>
          <w:rFonts w:ascii="Palatino Linotype" w:cs="Palatino Linotype" w:eastAsia="Palatino Linotype" w:hAnsi="Palatino Linotype"/>
          <w:sz w:val="24"/>
          <w:szCs w:val="24"/>
        </w:rPr>
        <w:t xml:space="preserve"/>
      </w:r>
    </w:p>
    <w:p>
      <w:pPr>
        <w:spacing w:after="80" w:before="24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4"/>
          <w:szCs w:val="24"/>
        </w:rPr>
        <w:t xml:space="preserve">Piraci Oliveira</w:t>
      </w:r>
    </w:p>
    <w:p>
      <w:pPr>
        <w:spacing w:after="80"/>
        <w:jc w:val="center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OAB/SP 200.270</w:t>
      </w:r>
    </w:p>
    <w:sectPr>
      <w:headerReference w:type="default" r:id="rId7"/>
      <w:footerReference w:type="default" r:id="rId8"/>
      <w:pgSz w:w="11906" w:h="16838" w:orient="portrait"/>
      <w:pgMar w:top="1985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4E79" w:sz="6" w:space="1"/>
      </w:pBdr>
      <w:spacing w:after="0" w:before="80"/>
      <w:jc w:val="center"/>
    </w:pPr>
    <w:r>
      <w:rPr>
        <w:rFonts w:ascii="Palatino Linotype" w:cs="Palatino Linotype" w:eastAsia="Palatino Linotype" w:hAnsi="Palatino Linotype"/>
        <w:color w:val="000000"/>
        <w:sz w:val="18"/>
        <w:szCs w:val="18"/>
      </w:rPr>
      <w:t xml:space="preserve">piraci@piraci.com.br  |  piraciadv.blog  |  Instagram: @piracioliveira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center"/>
    </w:pPr>
    <w:r>
      <w:rPr>
        <w:rFonts w:ascii="Palatino Linotype" w:cs="Palatino Linotype" w:eastAsia="Palatino Linotype" w:hAnsi="Palatino Linotype"/>
        <w:b/>
        <w:bCs/>
        <w:color w:val="000000"/>
        <w:sz w:val="32"/>
        <w:szCs w:val="32"/>
      </w:rPr>
      <w:t xml:space="preserve">PIRACI OLIVEIRA</w:t>
    </w:r>
  </w:p>
  <w:p>
    <w:pPr>
      <w:spacing w:after="60"/>
      <w:jc w:val="center"/>
    </w:pPr>
    <w:r>
      <w:rPr>
        <w:rFonts w:ascii="Palatino Linotype" w:cs="Palatino Linotype" w:eastAsia="Palatino Linotype" w:hAnsi="Palatino Linotype"/>
        <w:color w:val="000000"/>
        <w:sz w:val="22"/>
        <w:szCs w:val="22"/>
      </w:rPr>
      <w:t xml:space="preserve">Sociedade de Advogados</w:t>
    </w:r>
  </w:p>
  <w:p>
    <w:pPr>
      <w:pBdr>
        <w:bottom w:val="single" w:color="1F4E79" w:sz="8" w:space="1"/>
      </w:pBdr>
      <w:spacing w:after="120"/>
      <w:jc w:val="center"/>
    </w:pPr>
    <w:r>
      <w:rPr>
        <w:rFonts w:ascii="Palatino Linotype" w:cs="Palatino Linotype" w:eastAsia="Palatino Linotype" w:hAnsi="Palatino Linotype"/>
        <w:sz w:val="4"/>
        <w:szCs w:val="4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cs="Palatino Linotype" w:eastAsia="Palatino Linotype" w:hAnsi="Palatino Linotype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— Locação por Pessoa Física na Reforma Tributária</dc:title>
  <dc:creator>Piraci Oliveira</dc:creator>
  <cp:lastModifiedBy>Un-named</cp:lastModifiedBy>
  <cp:revision>1</cp:revision>
  <dcterms:created xsi:type="dcterms:W3CDTF">2026-05-01T14:52:26.362Z</dcterms:created>
  <dcterms:modified xsi:type="dcterms:W3CDTF">2026-05-01T14:52:26.362Z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