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right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São Paulo, 8 de maio de 2026.</w:t>
      </w:r>
    </w:p>
    <w:p>
      <w:pPr>
        <w:spacing w:after="36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RESUMO DA NOTA TÉCNICA EFD-REINF 02/2026</w:t>
      </w:r>
    </w:p>
    <w:p>
      <w:pPr>
        <w:spacing w:after="360"/>
        <w:jc w:val="center"/>
      </w:pPr>
      <w:r>
        <w:rPr>
          <w:rFonts w:ascii="Palatino Linotype" w:cs="Palatino Linotype" w:eastAsia="Palatino Linotype" w:hAnsi="Palatino Linotype"/>
          <w:i/>
          <w:iCs/>
          <w:color w:val="000000"/>
          <w:sz w:val="24"/>
          <w:szCs w:val="24"/>
        </w:rPr>
        <w:t xml:space="preserve">Lançamento dos lucros isentos da Lei 15.270/2025 e passo a passo de preenchimento</w:t>
      </w:r>
    </w:p>
    <w:p>
      <w:pPr>
        <w:spacing w:after="360" w:before="480" w:line="300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1. Do que trata a Nota Técnica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Nota Técnica EFD-Reinf 02/2026 promove ajustes pontuais nos leiautes da versão 2.1.2 da EFD-Reinf. As mudanças se concentram no R-4010 (rendimentos pagos a pessoa física) e na Tabela 01 — Natureza de Rendimentos do Anexo I, com o objetivo de acomodar o novo regime de isenção dos lucros e dividendos previsto no § 3º do art. 6º-A da Lei 15.270/2025.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texto não cria obrigação acessória nova. Apenas abre o espaço técnico para que a parcela isenta da distribuição de lucros, na forma da Lei 15.270/2025, seja informada de forma identificada no R-4010, separando-a do lucro tributável.</w:t>
      </w:r>
    </w:p>
    <w:p>
      <w:pPr>
        <w:spacing w:after="360" w:before="480" w:line="300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2. Inovações por assunto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/>
          <w:bCs/>
          <w:i w:val="false"/>
          <w:iCs w:val="false"/>
          <w:color w:val="000000"/>
          <w:sz w:val="24"/>
          <w:szCs w:val="24"/>
        </w:rPr>
        <w:t xml:space="preserve">2.1. R-4010 — campo {tpIsencao} do grupo {rendIsento}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Foi incluído o tipo de isenção 12 — Lucros e dividendos distribuídos nos termos do § 3º do art. 6º-A da Lei 15.270/2025. A regra de validação mantém os tipos 5, 6, 7, 11 e 12 disponíveis somente quando o declarante for pessoa jurídica. Os valores válidos passam a ser: 1, 2, 3, 4, 5, 6, 7, 8, 10, 11, 12 e 99.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/>
          <w:bCs/>
          <w:i w:val="false"/>
          <w:iCs w:val="false"/>
          <w:color w:val="000000"/>
          <w:sz w:val="24"/>
          <w:szCs w:val="24"/>
        </w:rPr>
        <w:t xml:space="preserve">2.2. Tabela 01 — natureza 10001 (rendimento do trabalho com vínculo empregatício)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partir da competência 05/2026, é excluído o tipo de isenção 5 — valores pagos a titular ou sócio de microempresa ou empresa de pequeno porte (exceto pró-labore, aluguéis e serviços prestados). A medida segue a lógica de que esses pagamentos não pertencem à natureza de vínculo empregatício; os tipos válidos para 10001, na nova vigência, ficam reduzidos a 1, 2, 3, 4, 6, 8, 10 e 99.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/>
          <w:bCs/>
          <w:i w:val="false"/>
          <w:iCs w:val="false"/>
          <w:color w:val="000000"/>
          <w:sz w:val="24"/>
          <w:szCs w:val="24"/>
        </w:rPr>
        <w:t xml:space="preserve">2.3. Tabela 01 — natureza 12001 (Lucro e Dividendo)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partir da competência 01/2026, fica incluído o tipo de isenção 12 na natureza 12001. Esse é o ponto central da Nota Técnica para a maioria das empresas: a parcela isenta dos lucros distribuídos, com base no § 3º do art. 6º-A da Lei 15.270/2025, passa a ter código próprio e deverá ser declarada como tal, e não mais agrupada como rendimento isento genérico.</w:t>
      </w:r>
    </w:p>
    <w:p>
      <w:pPr>
        <w:spacing w:after="360" w:before="480" w:line="300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3. Quadro-resumo das alterações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360"/>
        <w:gridCol w:w="1500"/>
        <w:gridCol w:w="1500"/>
      </w:tblGrid>
      <w:tr>
        <w:trPr>
          <w:tblHeader/>
        </w:trPr>
        <w:tc>
          <w:tcPr>
            <w:tcW w:type="dxa" w:w="20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DE8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F3864"/>
                <w:sz w:val="22"/>
                <w:szCs w:val="22"/>
              </w:rPr>
              <w:t xml:space="preserve">Onde</w:t>
            </w:r>
          </w:p>
        </w:tc>
        <w:tc>
          <w:tcPr>
            <w:tcW w:type="dxa" w:w="436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DE8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F3864"/>
                <w:sz w:val="22"/>
                <w:szCs w:val="22"/>
              </w:rPr>
              <w:t xml:space="preserve">O que muda</w:t>
            </w:r>
          </w:p>
        </w:tc>
        <w:tc>
          <w:tcPr>
            <w:tcW w:type="dxa" w:w="15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DE8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F3864"/>
                <w:sz w:val="22"/>
                <w:szCs w:val="22"/>
              </w:rPr>
              <w:t xml:space="preserve">Início</w:t>
            </w:r>
          </w:p>
        </w:tc>
        <w:tc>
          <w:tcPr>
            <w:tcW w:type="dxa" w:w="15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DE8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F3864"/>
                <w:sz w:val="22"/>
                <w:szCs w:val="22"/>
              </w:rPr>
              <w:t xml:space="preserve">Fim</w:t>
            </w:r>
          </w:p>
        </w:tc>
      </w:tr>
      <w:tr>
        <w:tc>
          <w:tcPr>
            <w:tcW w:type="dxa" w:w="20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R-4010 — campo {tpIsencao}</w:t>
            </w:r>
          </w:p>
        </w:tc>
        <w:tc>
          <w:tcPr>
            <w:tcW w:type="dxa" w:w="436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Inclui o tipo de isenção 12 — Lucros e dividendos do § 3º do art. 6º-A da Lei 15.270/2025</w:t>
            </w:r>
          </w:p>
        </w:tc>
        <w:tc>
          <w:tcPr>
            <w:tcW w:type="dxa" w:w="15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01/2026</w:t>
            </w:r>
          </w:p>
        </w:tc>
        <w:tc>
          <w:tcPr>
            <w:tcW w:type="dxa" w:w="15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dxa" w:w="20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Tabela 01 — natureza 10001 (vínculo empregatício)</w:t>
            </w:r>
          </w:p>
        </w:tc>
        <w:tc>
          <w:tcPr>
            <w:tcW w:type="dxa" w:w="436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Exclui o tipo de isenção 5 (valores pagos a titular ou sócio de ME/EPP, exceto pró-labore, aluguéis e serviços)</w:t>
            </w:r>
          </w:p>
        </w:tc>
        <w:tc>
          <w:tcPr>
            <w:tcW w:type="dxa" w:w="15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05/2026</w:t>
            </w:r>
          </w:p>
        </w:tc>
        <w:tc>
          <w:tcPr>
            <w:tcW w:type="dxa" w:w="15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dxa" w:w="20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Tabela 01 — natureza 12001 (Lucro e Dividendo)</w:t>
            </w:r>
          </w:p>
        </w:tc>
        <w:tc>
          <w:tcPr>
            <w:tcW w:type="dxa" w:w="436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Inclui o tipo de isenção 12 — Lucros e dividendos do § 3º do art. 6º-A da Lei 15.270/2025</w:t>
            </w:r>
          </w:p>
        </w:tc>
        <w:tc>
          <w:tcPr>
            <w:tcW w:type="dxa" w:w="15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01/2026</w:t>
            </w:r>
          </w:p>
        </w:tc>
        <w:tc>
          <w:tcPr>
            <w:tcW w:type="dxa" w:w="150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—</w:t>
            </w:r>
          </w:p>
        </w:tc>
      </w:tr>
    </w:tbl>
    <w:p>
      <w:pPr>
        <w:spacing w:after="360" w:before="480" w:line="300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4. Como lançar os valores isentos no R-4010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R-4010 destina-se aos rendimentos pagos, creditados, entregues, empregados ou remetidos a pessoa física, com retenção ou sem retenção do Imposto de Renda. Dentro do evento existe o grupo {rendIsento}, no qual cada parcela não tributada é informada com o código de isenção correspondente.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Para distribuição de lucros, a partir da competência 01/2026, a parcela considerada isenta pela Lei 15.270/2025 deixa de ser informada de modo genérico e passa a ser detalhada com o tipo 12. Em outras palavras: se o sócio recebeu R$ 30.000 de lucros, e a Lei considera, por exemplo, R$ 20.000 dentro do limite isento e R$ 10.000 acima do limite, o R-4010 deve refletir essa segregação — a parcela isenta com {tpIsencao} = 12 e a parcela tributável no campo de rendimento bruto sujeito à retenção.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Resumidamente, o mapa do preenchimento da parcela isenta é o seguinte: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DE8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F3864"/>
                <w:sz w:val="22"/>
                <w:szCs w:val="22"/>
              </w:rPr>
              <w:t xml:space="preserve">Campo do R-4010</w:t>
            </w:r>
          </w:p>
        </w:tc>
        <w:tc>
          <w:tcPr>
            <w:tcW w:type="dxa" w:w="624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DE8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Palatino Linotype" w:cs="Palatino Linotype" w:eastAsia="Palatino Linotype" w:hAnsi="Palatino Linotype"/>
                <w:b/>
                <w:bCs/>
                <w:color w:val="1F3864"/>
                <w:sz w:val="22"/>
                <w:szCs w:val="22"/>
              </w:rPr>
              <w:t xml:space="preserve">Conteúdo a informar (lucro isento da Lei 15.270/2025)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natRend</w:t>
            </w:r>
          </w:p>
        </w:tc>
        <w:tc>
          <w:tcPr>
            <w:tcW w:type="dxa" w:w="624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12001 — Lucro e Dividendo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vlrRendBruto</w:t>
            </w:r>
          </w:p>
        </w:tc>
        <w:tc>
          <w:tcPr>
            <w:tcW w:type="dxa" w:w="624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Valor bruto pago, creditado, entregue, empregado ou remetido ao beneficiário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rendIsento → tpIsencao</w:t>
            </w:r>
          </w:p>
        </w:tc>
        <w:tc>
          <w:tcPr>
            <w:tcW w:type="dxa" w:w="624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12 — Lucros e dividendos distribuídos nos termos do § 3º do art. 6º-A da Lei 15.270/2025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rendIsento → vlrIsento</w:t>
            </w:r>
          </w:p>
        </w:tc>
        <w:tc>
          <w:tcPr>
            <w:tcW w:type="dxa" w:w="624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Valor da parcela considerada isenta com base no § 3º do art. 6º-A</w:t>
            </w:r>
          </w:p>
        </w:tc>
      </w:tr>
      <w:tr>
        <w:tc>
          <w:tcPr>
            <w:tcW w:type="dxa" w:w="312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descRendIsento</w:t>
            </w:r>
          </w:p>
        </w:tc>
        <w:tc>
          <w:tcPr>
            <w:tcW w:type="dxa" w:w="6240"/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alatino Linotype" w:cs="Palatino Linotype" w:eastAsia="Palatino Linotype" w:hAnsi="Palatino Linotype"/>
                <w:b w:val="false"/>
                <w:bCs w:val="false"/>
                <w:color w:val="000000"/>
                <w:sz w:val="22"/>
                <w:szCs w:val="22"/>
              </w:rPr>
              <w:t xml:space="preserve">Descrição livre da operação (ex.: distribuição de lucros do exercício 2025)</w:t>
            </w:r>
          </w:p>
        </w:tc>
      </w:tr>
    </w:tbl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descrição (descRendIsento) deve ser objetiva. Recomenda-se indicar, no mínimo, o exercício a que se referem os lucros, a deliberação societária que autorizou a distribuição e a base que sustenta a isenção, para deixar a memória de cálculo amarrada à folha do beneficiário.</w:t>
      </w:r>
    </w:p>
    <w:p>
      <w:pPr>
        <w:spacing w:after="360" w:before="480" w:line="300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5. Texto legal de referência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Reproduz-se, para conferência, o trecho do leiaute alterado:</w:t>
      </w:r>
    </w:p>
    <w:p>
      <w:pPr>
        <w:spacing w:after="180" w:before="120" w:line="280"/>
        <w:ind w:left="1134" w:right="1134"/>
        <w:jc w:val="both"/>
      </w:pPr>
      <w:r>
        <w:rPr>
          <w:rFonts w:ascii="Palatino Linotype" w:cs="Palatino Linotype" w:eastAsia="Palatino Linotype" w:hAnsi="Palatino Linotype"/>
          <w:i/>
          <w:iCs/>
          <w:color w:val="000000"/>
          <w:sz w:val="24"/>
          <w:szCs w:val="24"/>
        </w:rPr>
        <w:t xml:space="preserve">“Tipo de Isenção: (...) 12 — Lucros e dividendos distribuídos nos termos do § 3º do art. 6º-A da Lei nº 15.270/2025; (...) Só é permitido informar [5, 6, 7, 11, 12] se o declarante for PJ ({ideContri/tpInsc} = [1]). Valores válidos: 1, 2, 3, 4, 5, 6, 7, 8, 10, 11, 12, 99.”</w:t>
      </w:r>
    </w:p>
    <w:p>
      <w:pPr>
        <w:spacing w:after="360" w:before="480" w:line="300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6. Passo a passo do preenchimento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roteiro abaixo serve para a folha de distribuição de lucros que contenha parcela isenta com base no § 3º do art. 6º-A da Lei 15.270/2025.</w:t>
      </w:r>
    </w:p>
    <w:p>
      <w:pPr>
        <w:pStyle w:val="ListParagraph"/>
        <w:numPr>
          <w:ilvl w:val="0"/>
          <w:numId w:val="2"/>
        </w:numPr>
        <w:spacing w:after="12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Apurar o valor total distribuído ao sócio na competência e separar a parcela considerada isenta pela Lei 15.270/2025 da parcela tributável.</w:t>
      </w:r>
    </w:p>
    <w:p>
      <w:pPr>
        <w:pStyle w:val="ListParagraph"/>
        <w:numPr>
          <w:ilvl w:val="0"/>
          <w:numId w:val="2"/>
        </w:numPr>
        <w:spacing w:after="12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Confirmar que o declarante é pessoa jurídica (tpInsc = 1). O tipo 12 só é aceito para PJ; lançamentos por pessoa física serão rejeitados.</w:t>
      </w:r>
    </w:p>
    <w:p>
      <w:pPr>
        <w:pStyle w:val="ListParagraph"/>
        <w:numPr>
          <w:ilvl w:val="0"/>
          <w:numId w:val="2"/>
        </w:numPr>
        <w:spacing w:after="12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No evento R-4010, criar um registro de rendimento para o beneficiário com natRend = 12001 (Lucro e Dividendo).</w:t>
      </w:r>
    </w:p>
    <w:p>
      <w:pPr>
        <w:pStyle w:val="ListParagraph"/>
        <w:numPr>
          <w:ilvl w:val="0"/>
          <w:numId w:val="2"/>
        </w:numPr>
        <w:spacing w:after="12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No campo vlrRendBruto, lançar o valor bruto pago, creditado, entregue, empregado ou remetido na competência.</w:t>
      </w:r>
    </w:p>
    <w:p>
      <w:pPr>
        <w:pStyle w:val="ListParagraph"/>
        <w:numPr>
          <w:ilvl w:val="0"/>
          <w:numId w:val="2"/>
        </w:numPr>
        <w:spacing w:after="12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Abrir o grupo {rendIsento} e informar tpIsencao = 12; em vlrIsento, indicar exatamente a parcela amparada pelo § 3º do art. 6º-A.</w:t>
      </w:r>
    </w:p>
    <w:p>
      <w:pPr>
        <w:pStyle w:val="ListParagraph"/>
        <w:numPr>
          <w:ilvl w:val="0"/>
          <w:numId w:val="2"/>
        </w:numPr>
        <w:spacing w:after="12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Em descRendIsento, descrever a operação: exercício social, ata ou deliberação que autorizou a distribuição e base normativa.</w:t>
      </w:r>
    </w:p>
    <w:p>
      <w:pPr>
        <w:pStyle w:val="ListParagraph"/>
        <w:numPr>
          <w:ilvl w:val="0"/>
          <w:numId w:val="2"/>
        </w:numPr>
        <w:spacing w:after="12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Se houver parcela tributável (lucros acima do limite isento), lançá-la no rendimento bruto sujeito à retenção, dentro do mesmo R-4010 do beneficiário, com o respectivo IR retido.</w:t>
      </w:r>
    </w:p>
    <w:p>
      <w:pPr>
        <w:pStyle w:val="ListParagraph"/>
        <w:numPr>
          <w:ilvl w:val="0"/>
          <w:numId w:val="2"/>
        </w:numPr>
        <w:spacing w:after="12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Conferir que a soma dos campos (parcela isenta + parcela tributável + demais deduções, quando houver) coincide com o valor pago ao sócio.</w:t>
      </w:r>
    </w:p>
    <w:p>
      <w:pPr>
        <w:pStyle w:val="ListParagraph"/>
        <w:numPr>
          <w:ilvl w:val="0"/>
          <w:numId w:val="2"/>
        </w:numPr>
        <w:spacing w:after="12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Validar o arquivo no PVA antes de transmitir e guardar o recibo. Em caso de erro, retificar pelo próprio R-4010 (chave do evento + indRetif = 2).</w:t>
      </w:r>
    </w:p>
    <w:p>
      <w:pPr>
        <w:pStyle w:val="ListParagraph"/>
        <w:numPr>
          <w:ilvl w:val="0"/>
          <w:numId w:val="2"/>
        </w:numPr>
        <w:spacing w:after="12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Para competências de 01/2026 em diante, revisar lançamentos já enviados que tenham tratado os lucros isentos como tipo genérico e providenciar a retificação para o tipo 12.</w:t>
      </w:r>
    </w:p>
    <w:p>
      <w:pPr>
        <w:spacing w:after="360" w:before="480" w:line="300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7. Vigências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 alterações têm marcos próprios e exigem atenção da folha:</w:t>
      </w:r>
    </w:p>
    <w:p>
      <w:pPr>
        <w:pStyle w:val="ListParagraph"/>
        <w:numPr>
          <w:ilvl w:val="0"/>
          <w:numId w:val="3"/>
        </w:numPr>
        <w:spacing w:after="10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Inclusão do tipo 12 no R-4010 e na natureza 12001 — vigência a partir de 01/2026.</w:t>
      </w:r>
    </w:p>
    <w:p>
      <w:pPr>
        <w:pStyle w:val="ListParagraph"/>
        <w:numPr>
          <w:ilvl w:val="0"/>
          <w:numId w:val="3"/>
        </w:numPr>
        <w:spacing w:after="10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Exclusão do tipo 5 da natureza 10001 — vigência a partir de 05/2026; até a competência 04/2026 o tipo 5 continua válido para 10001.</w:t>
      </w:r>
    </w:p>
    <w:p>
      <w:pPr>
        <w:spacing w:after="360" w:before="480" w:line="300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8. Pontos de atenção</w:t>
      </w:r>
    </w:p>
    <w:p>
      <w:pPr>
        <w:pStyle w:val="ListParagraph"/>
        <w:numPr>
          <w:ilvl w:val="0"/>
          <w:numId w:val="3"/>
        </w:numPr>
        <w:spacing w:after="10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O tipo 12 é privativo de pessoa jurídica declarante. Sócio que distribua lucros por meio de empresário individual equiparado a PJ deve verificar o tpInsc utilizado.</w:t>
      </w:r>
    </w:p>
    <w:p>
      <w:pPr>
        <w:pStyle w:val="ListParagraph"/>
        <w:numPr>
          <w:ilvl w:val="0"/>
          <w:numId w:val="3"/>
        </w:numPr>
        <w:spacing w:after="10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A separação entre parcela isenta e parcela tributável passa a ser auditada com base em código próprio. Lançar tudo como “outros (99)” deixa de ser caminho seguro a partir de 01/2026.</w:t>
      </w:r>
    </w:p>
    <w:p>
      <w:pPr>
        <w:pStyle w:val="ListParagraph"/>
        <w:numPr>
          <w:ilvl w:val="0"/>
          <w:numId w:val="3"/>
        </w:numPr>
        <w:spacing w:after="10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A descrição (descRendIsento) é o lugar para registrar o vínculo entre o pagamento e a deliberação societária. Quanto mais clara, menor o risco de questionamento futuro.</w:t>
      </w:r>
    </w:p>
    <w:p>
      <w:pPr>
        <w:pStyle w:val="ListParagraph"/>
        <w:numPr>
          <w:ilvl w:val="0"/>
          <w:numId w:val="3"/>
        </w:numPr>
        <w:spacing w:after="100" w:line="300"/>
        <w:jc w:val="both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A exclusão do tipo 5 do código 10001 não significa que esses pagamentos a sócio de ME/EPP deixem de ser informados; eles devem ser direcionados às naturezas próprias (lucro/dividendo, pró-labore, aluguel ou serviço, conforme o caso).</w:t>
      </w:r>
    </w:p>
    <w:p>
      <w:pPr>
        <w:spacing w:after="360" w:before="480" w:line="300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9. Encaminhamento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Sugiro que o departamento fiscal revise os parâmetros do sistema de folha e do gerador da EFD-Reinf para que, a partir da competência 01/2026, a distribuição de lucros amparada pela Lei 15.270/2025 seja apontada com o código 12. A partir da competência 05/2026, é necessário também ajustar os roteiros que ainda usem o tipo 5 dentro da natureza 10001.</w:t>
      </w:r>
    </w:p>
    <w:p>
      <w:pPr>
        <w:spacing w:after="120" w:line="300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Permaneço à disposição para detalhar qualquer dos pontos acima ou para auxiliar na conferência dos primeiros lançamentos sob a nova regra.</w:t>
      </w:r>
    </w:p>
    <w:p>
      <w:pPr>
        <w:spacing w:after="0" w:before="60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4"/>
          <w:szCs w:val="24"/>
        </w:rPr>
        <w:t xml:space="preserve">Piraci Oliveira</w:t>
      </w:r>
    </w:p>
    <w:p>
      <w:pPr>
        <w:spacing w:after="200"/>
        <w:jc w:val="center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OAB/SP 200.270</w:t>
      </w:r>
    </w:p>
    <w:sectPr>
      <w:headerReference w:type="default" r:id="rId7"/>
      <w:footerReference w:type="default" r:id="rId8"/>
      <w:pgSz w:w="11906" w:h="16838" w:orient="portrait"/>
      <w:pgMar w:top="17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864" w:sz="6" w:space="4"/>
      </w:pBdr>
      <w:spacing w:before="60"/>
      <w:jc w:val="center"/>
    </w:pPr>
    <w:r>
      <w:rPr>
        <w:rFonts w:ascii="Palatino Linotype" w:cs="Palatino Linotype" w:eastAsia="Palatino Linotype" w:hAnsi="Palatino Linotype"/>
        <w:color w:val="000000"/>
        <w:sz w:val="18"/>
        <w:szCs w:val="18"/>
      </w:rPr>
      <w:t xml:space="preserve">piraci@piraci.com.br  |  piraciadv.blog  |  piracioliveira (instagram)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center"/>
    </w:pPr>
    <w:r>
      <w:rPr>
        <w:rFonts w:ascii="Palatino Linotype" w:cs="Palatino Linotype" w:eastAsia="Palatino Linotype" w:hAnsi="Palatino Linotype"/>
        <w:b/>
        <w:bCs/>
        <w:color w:val="1F3864"/>
        <w:sz w:val="32"/>
        <w:szCs w:val="32"/>
      </w:rPr>
      <w:t xml:space="preserve">PIRACI OLIVEIRA</w:t>
    </w:r>
  </w:p>
  <w:p>
    <w:pPr>
      <w:spacing w:after="60"/>
      <w:jc w:val="center"/>
    </w:pPr>
    <w:r>
      <w:rPr>
        <w:rFonts w:ascii="Palatino Linotype" w:cs="Palatino Linotype" w:eastAsia="Palatino Linotype" w:hAnsi="Palatino Linotype"/>
        <w:b/>
        <w:bCs/>
        <w:color w:val="1F3864"/>
        <w:sz w:val="18"/>
        <w:szCs w:val="18"/>
      </w:rPr>
      <w:t xml:space="preserve">SOCIEDADE DE ADVOGADOS</w:t>
    </w:r>
  </w:p>
  <w:p>
    <w:pPr>
      <w:pBdr>
        <w:bottom w:val="single" w:color="1F3864" w:sz="6" w:space="4"/>
      </w:pBdr>
      <w:spacing w:after="200"/>
      <w:jc w:val="center"/>
    </w:pPr>
    <w:r>
      <w:rPr>
        <w:rFonts w:ascii="Palatino Linotype" w:cs="Palatino Linotype" w:eastAsia="Palatino Linotype" w:hAnsi="Palatino Linotype"/>
        <w:sz w:val="4"/>
        <w:szCs w:val="4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Passo %1."/>
      <w:lvlJc w:val="left"/>
      <w:pPr>
        <w:ind w:left="900" w:hanging="5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cs="Palatino Linotype" w:eastAsia="Palatino Linotype" w:hAnsi="Palatino Linotype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2026-05-08T14:52:03.665Z</dcterms:created>
  <dcterms:modified xsi:type="dcterms:W3CDTF">2026-05-08T14:52:03.665Z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