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AEAC" w14:textId="77777777" w:rsidR="00296407" w:rsidRDefault="00296407">
      <w:pPr>
        <w:spacing w:before="240" w:after="60"/>
        <w:jc w:val="center"/>
        <w:rPr>
          <w:b/>
          <w:bCs/>
          <w:caps/>
          <w:sz w:val="26"/>
          <w:szCs w:val="26"/>
        </w:rPr>
      </w:pPr>
    </w:p>
    <w:p w14:paraId="0F4487F2" w14:textId="5F11F9A9" w:rsidR="00201D00" w:rsidRDefault="00000000">
      <w:pPr>
        <w:spacing w:before="240" w:after="60"/>
        <w:jc w:val="center"/>
      </w:pPr>
      <w:r>
        <w:rPr>
          <w:b/>
          <w:bCs/>
          <w:caps/>
          <w:sz w:val="26"/>
          <w:szCs w:val="26"/>
        </w:rPr>
        <w:t>PARECER JURÍDICO – TRIBUTAÇÃO DAS EMPRESAS DO SIMPLES NACIONAL NA REFORMA TRIBUTÁRIA</w:t>
      </w:r>
    </w:p>
    <w:p w14:paraId="532013C6" w14:textId="77777777" w:rsidR="00201D00" w:rsidRDefault="00000000">
      <w:pPr>
        <w:spacing w:after="240"/>
        <w:jc w:val="right"/>
      </w:pPr>
      <w:r>
        <w:t>São Paulo, 18 de junho de 2026.</w:t>
      </w:r>
    </w:p>
    <w:p w14:paraId="10A36A00" w14:textId="5D7274B4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1. D</w:t>
      </w:r>
      <w:r w:rsidR="00296407" w:rsidRPr="00296407">
        <w:rPr>
          <w:b/>
          <w:bCs/>
          <w:sz w:val="26"/>
          <w:szCs w:val="26"/>
        </w:rPr>
        <w:t>O PARECER ESPONTÂNEO</w:t>
      </w:r>
      <w:r>
        <w:rPr>
          <w:b/>
          <w:bCs/>
          <w:sz w:val="26"/>
          <w:szCs w:val="26"/>
        </w:rPr>
        <w:t xml:space="preserve"> E D</w:t>
      </w:r>
      <w:r w:rsidR="00296407" w:rsidRPr="00296407">
        <w:rPr>
          <w:b/>
          <w:bCs/>
          <w:sz w:val="26"/>
          <w:szCs w:val="26"/>
        </w:rPr>
        <w:t>E SEU OBJET</w:t>
      </w:r>
      <w:r>
        <w:rPr>
          <w:b/>
          <w:bCs/>
          <w:sz w:val="26"/>
          <w:szCs w:val="26"/>
        </w:rPr>
        <w:t>O</w:t>
      </w:r>
    </w:p>
    <w:p w14:paraId="68263805" w14:textId="7B7CFAD3" w:rsidR="00201D00" w:rsidRDefault="00296407">
      <w:pPr>
        <w:spacing w:after="180" w:line="276" w:lineRule="auto"/>
        <w:jc w:val="both"/>
      </w:pPr>
      <w:r w:rsidRPr="00296407">
        <w:t>O presente parecer é emitido com finalidade exclusivamente técnico-informativa. Examina-se</w:t>
      </w:r>
      <w:r w:rsidR="00000000">
        <w:t xml:space="preserve"> a situação das empresas optantes pelo Simples Nacional diante da implementação do Imposto sobre Bens e Serviços (IBS) e da Contribuição Social sobre Bens e Serviços (CBS), instituídos pela Emenda Constitucional n.º 132/2023 e regulamentados pela Lei Complementar n.º 214/2025. O objeto d</w:t>
      </w:r>
      <w:r w:rsidRPr="00296407">
        <w:t>este parecer</w:t>
      </w:r>
      <w:r w:rsidR="00000000">
        <w:t xml:space="preserve"> cinge-se à decisão que tais contribuintes deverão formalizar na janela de setembro de 2026, relativa à forma de apuração e recolhimento dos novos tributos a partir de 2027.</w:t>
      </w:r>
    </w:p>
    <w:p w14:paraId="1D401699" w14:textId="1227313E" w:rsidR="00201D00" w:rsidRDefault="00296407">
      <w:pPr>
        <w:spacing w:after="180" w:line="276" w:lineRule="auto"/>
        <w:jc w:val="both"/>
      </w:pPr>
      <w:r w:rsidRPr="00296407">
        <w:t xml:space="preserve">A questão central que </w:t>
      </w:r>
      <w:r w:rsidR="00000000">
        <w:t>se</w:t>
      </w:r>
      <w:r w:rsidRPr="00296407">
        <w:t xml:space="preserve"> enfrenta é a de saber</w:t>
      </w:r>
      <w:r w:rsidR="00000000">
        <w:t xml:space="preserve"> se a empresa optante pelo Simples Nacional deve, em setembro de 2026, recolher o IBS e a CBS por dentro do Documento de Arrecadação do Simples Nacional (DAS), no regime unificado, ou por fora do DAS, pelo regime regular (dito híbrido); bem como qual a conduta mais prudente diante da janela de convalidação prevista para novembro de 2026 e da definição, ainda pendente, da alíquota da CBS.</w:t>
      </w:r>
    </w:p>
    <w:p w14:paraId="3EAFABF2" w14:textId="77777777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2. DO RELATÓRIO</w:t>
      </w:r>
    </w:p>
    <w:p w14:paraId="74643DE0" w14:textId="44FB4CC3" w:rsidR="00201D00" w:rsidRDefault="00000000">
      <w:pPr>
        <w:spacing w:after="180" w:line="276" w:lineRule="auto"/>
        <w:jc w:val="both"/>
      </w:pPr>
      <w:r>
        <w:t xml:space="preserve">As </w:t>
      </w:r>
      <w:r w:rsidR="00296407" w:rsidRPr="00296407">
        <w:t>empresas a que se refere este parecer</w:t>
      </w:r>
      <w:r>
        <w:t xml:space="preserve"> são pessoas jurídicas optantes pelo Simples Nacional que, no exercício de 2027, ingressarão na fase de cobrança plena da CBS, em substituição à Contribuição ao PIS e à COFINS, então extintas. O ano de 2026 funciona como período de teste do novo modelo, com alíquotas reduzidas e compensáveis, ao passo que 2027 marca o início da exigência efetiva da CBS.</w:t>
      </w:r>
    </w:p>
    <w:p w14:paraId="44A6A7D8" w14:textId="67907D4C" w:rsidR="00201D00" w:rsidRDefault="00000000">
      <w:pPr>
        <w:spacing w:after="180" w:line="276" w:lineRule="auto"/>
        <w:jc w:val="both"/>
      </w:pPr>
      <w:r>
        <w:t xml:space="preserve">Para esse cenário, o Comitê Gestor do Simples Nacional editou a Resolução CGSN n.º 186/2026, que fixou, de forma antecipada e excepcional, os prazos de opção pelo Simples Nacional e pelo regime regular de apuração do IBS e da CBS aplicáveis ao ano-calendário </w:t>
      </w:r>
      <w:r>
        <w:lastRenderedPageBreak/>
        <w:t xml:space="preserve">de 2027. É à luz desse calendário, e da indefinição quanto à alíquota da CBS, que se coloca a </w:t>
      </w:r>
      <w:r w:rsidR="00296407" w:rsidRPr="00296407">
        <w:t>quest</w:t>
      </w:r>
      <w:r>
        <w:t>ão acima.</w:t>
      </w:r>
    </w:p>
    <w:p w14:paraId="4881F1D8" w14:textId="77777777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3. DA FUNDAMENTAÇÃO JURÍDICA</w:t>
      </w:r>
    </w:p>
    <w:p w14:paraId="3C27C648" w14:textId="77777777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3.1. Do tratamento do Simples Nacional na Reforma Tributária</w:t>
      </w:r>
    </w:p>
    <w:p w14:paraId="5CEE97B0" w14:textId="77777777" w:rsidR="00201D00" w:rsidRDefault="00000000">
      <w:pPr>
        <w:spacing w:after="180" w:line="276" w:lineRule="auto"/>
        <w:jc w:val="both"/>
      </w:pPr>
      <w:r>
        <w:t>A Emenda Constitucional n.º 132/2023 preservou o tratamento favorecido do Simples Nacional, e a Lei Complementar n.º 214/2025 disciplinou o modo pelo qual o optante se relaciona com o IBS e a CBS. Em síntese, abrem-se duas alternativas ao contribuinte.</w:t>
      </w:r>
    </w:p>
    <w:p w14:paraId="483E2B7B" w14:textId="77777777" w:rsidR="00201D00" w:rsidRDefault="00000000">
      <w:pPr>
        <w:spacing w:after="180" w:line="276" w:lineRule="auto"/>
        <w:jc w:val="both"/>
      </w:pPr>
      <w:r>
        <w:t>Na primeira, o optante mantém o recolhimento do IBS e da CBS dentro do DAS, no regime unificado. Há simplicidade operacional, mas o crédito transferível ao adquirente fica limitado ao montante desses tributos embutido na alíquota do Simples, valor inferior ao que se apuraria no regime regular.</w:t>
      </w:r>
    </w:p>
    <w:p w14:paraId="1416E0C8" w14:textId="77777777" w:rsidR="00201D00" w:rsidRDefault="00000000">
      <w:pPr>
        <w:spacing w:after="180" w:line="276" w:lineRule="auto"/>
        <w:jc w:val="both"/>
      </w:pPr>
      <w:r>
        <w:t>Na segunda, o optante opta por apurar e recolher o IBS e a CBS por fora do DAS, pelo regime regular (regime híbrido), sujeitando-se à não cumulatividade plena. Conserva o Simples Nacional quanto ao IRPJ, à CSLL e à contribuição previdenciária patronal, mas passa a apurar IBS e CBS como as demais empresas, com direito a créditos e, sobretudo, com a faculdade de transferir crédito integral ao adquirente. Para quem vende a pessoas jurídicas do regime regular (operações B2B), essa transferência integral tende a ser fator competitivo decisivo.</w:t>
      </w:r>
    </w:p>
    <w:p w14:paraId="4CBA1CFE" w14:textId="77777777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3.2. Do calendário de opção e da janela de convalidação</w:t>
      </w:r>
    </w:p>
    <w:p w14:paraId="1AF708ED" w14:textId="77777777" w:rsidR="00201D00" w:rsidRDefault="00000000">
      <w:pPr>
        <w:spacing w:after="180" w:line="276" w:lineRule="auto"/>
        <w:jc w:val="both"/>
      </w:pPr>
      <w:r>
        <w:t>A Resolução CGSN n.º 186/2026 estabeleceu que a opção pelo Simples Nacional para o ano-calendário de 2027 deverá ser formalizada entre 1.º e 30 de setembro de 2026, pelo Portal do Simples Nacional, produzindo efeitos a partir de 1.º de janeiro de 2027. No mesmo período — de 1.º a 30 de setembro de 2026 — deverá ser exercida, de forma excepcional, a opção pelo regime regular de apuração do IBS e da CBS, aplicável exclusivamente ao período de janeiro a junho de 2027.</w:t>
      </w:r>
    </w:p>
    <w:p w14:paraId="121E3EF9" w14:textId="77777777" w:rsidR="00201D00" w:rsidRDefault="00000000">
      <w:pPr>
        <w:spacing w:after="180" w:line="276" w:lineRule="auto"/>
        <w:jc w:val="both"/>
      </w:pPr>
      <w:r>
        <w:t xml:space="preserve">Dois pontos merecem destaque. O primeiro é que a opção do contribuinte, no que toca ao IBS e à CBS, tem natureza semestral: a escolha de setembro vale para o primeiro </w:t>
      </w:r>
      <w:r>
        <w:lastRenderedPageBreak/>
        <w:t xml:space="preserve">semestre de 2027, e a escolha a ser feita em março de 2027 valerá para o segundo semestre. O segundo é que tanto a opção pelo Simples quanto a opção pelo regime regular do IBS e da CBS podem ser canceladas, em caráter irretratável, até o último dia de novembro de 2026, como prevê a citada Resolução, </w:t>
      </w:r>
      <w:proofErr w:type="spellStart"/>
      <w:r>
        <w:t>verbis</w:t>
      </w:r>
      <w:proofErr w:type="spellEnd"/>
      <w:r>
        <w:t>:</w:t>
      </w:r>
    </w:p>
    <w:p w14:paraId="2D6285E3" w14:textId="77777777" w:rsidR="00201D00" w:rsidRDefault="00000000">
      <w:pPr>
        <w:spacing w:after="180" w:line="276" w:lineRule="auto"/>
        <w:ind w:left="1134" w:right="1134"/>
        <w:jc w:val="both"/>
      </w:pPr>
      <w:r>
        <w:rPr>
          <w:i/>
          <w:iCs/>
        </w:rPr>
        <w:t>“A opção pelo regime regular do IBS e da CBS também poderá ser cancelada de forma irretratável até o último dia de novembro de 2026.”</w:t>
      </w:r>
    </w:p>
    <w:p w14:paraId="37B72E7B" w14:textId="77777777" w:rsidR="00201D00" w:rsidRDefault="00000000">
      <w:pPr>
        <w:spacing w:after="180" w:line="276" w:lineRule="auto"/>
        <w:jc w:val="both"/>
      </w:pPr>
      <w:r>
        <w:t>Tem-se, portanto, que a manifestação de setembro não é definitiva. Há uma janela de revisão até o fim de novembro de 2026, que funciona, na prática, como momento de convalidação da decisão inicialmente tomada.</w:t>
      </w:r>
    </w:p>
    <w:p w14:paraId="097EF66F" w14:textId="77777777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3.3. Da alíquota da CBS como vetor da decisão</w:t>
      </w:r>
    </w:p>
    <w:p w14:paraId="66C0BA51" w14:textId="77777777" w:rsidR="00201D00" w:rsidRDefault="00000000">
      <w:pPr>
        <w:spacing w:after="180" w:line="276" w:lineRule="auto"/>
        <w:jc w:val="both"/>
      </w:pPr>
      <w:r>
        <w:t>A decisão entre o regime unificado e o regime híbrido depende, essencialmente, do peso da CBS sobre a operação. Em 2027, a CBS passa a ser exigida de forma integral, em substituição ao PIS e à COFINS, e a respectiva alíquota de referência ainda será fixada no segundo semestre de 2026, à vista dos resultados do período de teste.</w:t>
      </w:r>
    </w:p>
    <w:p w14:paraId="0AB8A5E6" w14:textId="77777777" w:rsidR="00201D00" w:rsidRDefault="00000000">
      <w:pPr>
        <w:spacing w:after="180" w:line="276" w:lineRule="auto"/>
        <w:jc w:val="both"/>
      </w:pPr>
      <w:r>
        <w:t>Há fundada expectativa de que essa definição somente se consolide após outubro de 2026, isto é, depois do segundo turno das eleições. Esse é o dado central: optar definitivamente em setembro, antes de conhecida a alíquota, significa decidir sem o principal elemento de cálculo. Daí a relevância de preservar, até novembro, a faculdade de revisão.</w:t>
      </w:r>
    </w:p>
    <w:p w14:paraId="68C10E51" w14:textId="77777777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3.4. Da recomendação técnica</w:t>
      </w:r>
    </w:p>
    <w:p w14:paraId="514F283E" w14:textId="77777777" w:rsidR="00201D00" w:rsidRDefault="00000000">
      <w:pPr>
        <w:spacing w:after="180" w:line="276" w:lineRule="auto"/>
        <w:jc w:val="both"/>
      </w:pPr>
      <w:r>
        <w:t>Da conjugação entre a faculdade de cancelamento até novembro (item 3.2) e a indefinição da alíquota da CBS (item 3.3) extrai-se a orientação mais segura: em setembro de 2026, o contribuinte deve optar pelo recolhimento do IBS e da CBS por fora do DAS, isto é, pelo regime regular (híbrido), e aguardar a convalidação de novembro.</w:t>
      </w:r>
    </w:p>
    <w:p w14:paraId="64C7C529" w14:textId="77777777" w:rsidR="00201D00" w:rsidRDefault="00000000">
      <w:pPr>
        <w:spacing w:after="180" w:line="276" w:lineRule="auto"/>
        <w:jc w:val="both"/>
      </w:pPr>
      <w:r>
        <w:t xml:space="preserve">A razão é de prudência. Quem formaliza, em setembro, a opção pelo regime híbrido assegura desde logo a posição mais flexível — apta a gerar e transferir crédito integral ao adquirente — sem perder o prazo da janela do primeiro semestre de 2027. Conhecida a alíquota da CBS após outubro, duas situações podem ocorrer: se o regime híbrido se confirmar vantajoso, basta não cancelar a opção, que se convalida ao fim de novembro; </w:t>
      </w:r>
      <w:r>
        <w:lastRenderedPageBreak/>
        <w:t>se, ao contrário, revelar-se desvantajoso, o contribuinte cancela a opção até o último dia de novembro e permanece no regime unificado, dentro do DAS. O caminho inverso é mais arriscado, pois exige decidir, já em setembro, pela permanência no DAS, sem o dado da alíquota e sob risco de comprometer a competitividade nas operações B2B.</w:t>
      </w:r>
    </w:p>
    <w:p w14:paraId="5EE3B2A6" w14:textId="77777777" w:rsidR="00201D00" w:rsidRDefault="00000000">
      <w:pPr>
        <w:spacing w:after="180" w:line="276" w:lineRule="auto"/>
        <w:jc w:val="both"/>
      </w:pPr>
      <w:r>
        <w:t>Não há, até a presente data, jurisprudência consolidada dos Tribunais a respeito do tema, dada a novidade do regime. A orientação ora exposta assenta-se na interpretação sistemática da Lei Complementar n.º 214/2025 e da Resolução CGSN n.º 186/2026, bem como nos princípios da segurança jurídica e da prudência na gestão tributária.</w:t>
      </w:r>
    </w:p>
    <w:p w14:paraId="604974B4" w14:textId="77777777" w:rsidR="00201D00" w:rsidRDefault="00000000">
      <w:pPr>
        <w:spacing w:before="480" w:after="360"/>
      </w:pPr>
      <w:r>
        <w:rPr>
          <w:b/>
          <w:bCs/>
          <w:sz w:val="26"/>
          <w:szCs w:val="26"/>
        </w:rPr>
        <w:t>4. DA CONCLUSÃO</w:t>
      </w:r>
    </w:p>
    <w:p w14:paraId="7D0EF487" w14:textId="06CBB2D6" w:rsidR="00201D00" w:rsidRDefault="00000000">
      <w:pPr>
        <w:spacing w:after="180" w:line="276" w:lineRule="auto"/>
        <w:jc w:val="both"/>
      </w:pPr>
      <w:r>
        <w:t xml:space="preserve">Ante o exposto, </w:t>
      </w:r>
      <w:r w:rsidR="00296407" w:rsidRPr="00296407">
        <w:t>firma</w:t>
      </w:r>
      <w:r>
        <w:t xml:space="preserve">-se </w:t>
      </w:r>
      <w:r w:rsidR="00296407" w:rsidRPr="00296407">
        <w:t>o entendiment</w:t>
      </w:r>
      <w:r>
        <w:t>o de que a empresa optante pelo Simples Nacional deve, na janela de 1.º a 30 de setembro de 2026, optar pelo recolhimento do IBS e da CBS por fora do DAS — regime regular ou híbrido —, aguardando a janela de convalidação até o último dia de novembro de 2026 para a decisão definitiva.</w:t>
      </w:r>
    </w:p>
    <w:p w14:paraId="41C7E8C3" w14:textId="77777777" w:rsidR="00201D00" w:rsidRDefault="00000000">
      <w:pPr>
        <w:spacing w:after="180" w:line="276" w:lineRule="auto"/>
        <w:jc w:val="both"/>
      </w:pPr>
      <w:r>
        <w:t>Essa orientação preserva a posição mais flexível e a competitividade nas operações entre empresas, sem antecipar uma escolha irreversível em momento no qual a alíquota da CBS ainda não é conhecida.</w:t>
      </w:r>
    </w:p>
    <w:p w14:paraId="2D395523" w14:textId="77777777" w:rsidR="00201D00" w:rsidRDefault="00000000">
      <w:pPr>
        <w:spacing w:after="180" w:line="276" w:lineRule="auto"/>
        <w:jc w:val="both"/>
      </w:pPr>
      <w:r>
        <w:t>Registram-se, contudo, as seguintes condicionantes. A decisão definitiva deve ser revista após outubro de 2026, à luz da alíquota de referência da CBS então divulgada, cancelando-se a opção até o fim de novembro caso o regime híbrido se mostre desvantajoso ao perfil de operações do contribuinte.</w:t>
      </w:r>
    </w:p>
    <w:p w14:paraId="0B83E075" w14:textId="77777777" w:rsidR="00201D00" w:rsidRDefault="00000000">
      <w:pPr>
        <w:spacing w:after="180" w:line="276" w:lineRule="auto"/>
        <w:jc w:val="both"/>
      </w:pPr>
      <w:r>
        <w:t>Ressalva-se, ainda, que a opção pelo regime híbrido impõe controle documental mais rigoroso, análogo ao da não cumulatividade hoje aplicável ao PIS e à COFINS, devendo cada contribuinte avaliar a relação entre o ganho de crédito e o custo administrativo correspondente, sobretudo quando suas vendas se destinarem a consumidor final.</w:t>
      </w:r>
    </w:p>
    <w:p w14:paraId="5D469995" w14:textId="77777777" w:rsidR="00201D00" w:rsidRDefault="00000000">
      <w:pPr>
        <w:spacing w:after="180" w:line="276" w:lineRule="auto"/>
        <w:jc w:val="both"/>
      </w:pPr>
      <w:r>
        <w:t>Ante o exposto, este é o parecer, s.m.j.</w:t>
      </w:r>
    </w:p>
    <w:p w14:paraId="787EC1FE" w14:textId="77777777" w:rsidR="00201D00" w:rsidRDefault="00000000">
      <w:pPr>
        <w:spacing w:before="480"/>
        <w:jc w:val="center"/>
      </w:pPr>
      <w:r>
        <w:t>Piraci Oliveira</w:t>
      </w:r>
    </w:p>
    <w:p w14:paraId="31E51773" w14:textId="77777777" w:rsidR="00201D00" w:rsidRDefault="00000000">
      <w:pPr>
        <w:spacing w:after="360"/>
        <w:jc w:val="center"/>
      </w:pPr>
      <w:r>
        <w:t>OAB/SP 200.270</w:t>
      </w:r>
    </w:p>
    <w:p w14:paraId="548F7F04" w14:textId="04AF671E" w:rsidR="00201D00" w:rsidRDefault="00201D00">
      <w:pPr>
        <w:spacing w:after="120" w:line="276" w:lineRule="auto"/>
        <w:ind w:left="567" w:hanging="567"/>
        <w:jc w:val="both"/>
      </w:pPr>
    </w:p>
    <w:sectPr w:rsidR="00201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EEC0" w14:textId="77777777" w:rsidR="001D47CD" w:rsidRDefault="001D47CD">
      <w:r>
        <w:separator/>
      </w:r>
    </w:p>
  </w:endnote>
  <w:endnote w:type="continuationSeparator" w:id="0">
    <w:p w14:paraId="258991EC" w14:textId="77777777" w:rsidR="001D47CD" w:rsidRDefault="001D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9A65" w14:textId="77777777" w:rsidR="00296407" w:rsidRDefault="002964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02D6" w14:textId="77777777" w:rsidR="00201D00" w:rsidRDefault="00000000">
    <w:pPr>
      <w:pBdr>
        <w:top w:val="single" w:sz="6" w:space="4" w:color="000000"/>
      </w:pBdr>
      <w:spacing w:before="60"/>
      <w:jc w:val="center"/>
    </w:pPr>
    <w:proofErr w:type="gramStart"/>
    <w:r>
      <w:rPr>
        <w:sz w:val="16"/>
        <w:szCs w:val="16"/>
      </w:rPr>
      <w:t>piraci@piraci.com.br  /</w:t>
    </w:r>
    <w:proofErr w:type="gramEnd"/>
    <w:r>
      <w:rPr>
        <w:sz w:val="16"/>
        <w:szCs w:val="16"/>
      </w:rPr>
      <w:t xml:space="preserve">  </w:t>
    </w:r>
    <w:proofErr w:type="spellStart"/>
    <w:proofErr w:type="gramStart"/>
    <w:r>
      <w:rPr>
        <w:sz w:val="16"/>
        <w:szCs w:val="16"/>
      </w:rPr>
      <w:t>piraciadv.blog</w:t>
    </w:r>
    <w:proofErr w:type="spellEnd"/>
    <w:proofErr w:type="gramEnd"/>
    <w:r>
      <w:rPr>
        <w:sz w:val="16"/>
        <w:szCs w:val="16"/>
      </w:rPr>
      <w:t xml:space="preserve">  </w:t>
    </w:r>
    <w:proofErr w:type="gramStart"/>
    <w:r>
      <w:rPr>
        <w:sz w:val="16"/>
        <w:szCs w:val="16"/>
      </w:rPr>
      <w:t xml:space="preserve">/  </w:t>
    </w:r>
    <w:proofErr w:type="spellStart"/>
    <w:r>
      <w:rPr>
        <w:sz w:val="16"/>
        <w:szCs w:val="16"/>
      </w:rPr>
      <w:t>piracioliveira</w:t>
    </w:r>
    <w:proofErr w:type="spellEnd"/>
    <w:proofErr w:type="gramEnd"/>
    <w:r>
      <w:rPr>
        <w:sz w:val="16"/>
        <w:szCs w:val="16"/>
      </w:rPr>
      <w:t xml:space="preserve"> (</w:t>
    </w:r>
    <w:proofErr w:type="spellStart"/>
    <w:r>
      <w:rPr>
        <w:sz w:val="16"/>
        <w:szCs w:val="16"/>
      </w:rPr>
      <w:t>instagram</w:t>
    </w:r>
    <w:proofErr w:type="spellEnd"/>
    <w:r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8305" w14:textId="77777777" w:rsidR="00296407" w:rsidRDefault="002964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C6C8F" w14:textId="77777777" w:rsidR="001D47CD" w:rsidRDefault="001D47CD">
      <w:r>
        <w:separator/>
      </w:r>
    </w:p>
  </w:footnote>
  <w:footnote w:type="continuationSeparator" w:id="0">
    <w:p w14:paraId="33B88DED" w14:textId="77777777" w:rsidR="001D47CD" w:rsidRDefault="001D4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AE31" w14:textId="77777777" w:rsidR="00296407" w:rsidRDefault="002964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E268C" w14:textId="77777777" w:rsidR="00201D00" w:rsidRDefault="00000000">
    <w:pPr>
      <w:jc w:val="center"/>
    </w:pPr>
    <w:r>
      <w:rPr>
        <w:b/>
        <w:bCs/>
        <w:caps/>
        <w:sz w:val="26"/>
        <w:szCs w:val="26"/>
      </w:rPr>
      <w:t>PIRACI OLIVEIRA</w:t>
    </w:r>
  </w:p>
  <w:p w14:paraId="55497C09" w14:textId="77777777" w:rsidR="00201D00" w:rsidRDefault="00000000">
    <w:pPr>
      <w:pBdr>
        <w:bottom w:val="single" w:sz="6" w:space="4" w:color="000000"/>
      </w:pBdr>
      <w:spacing w:after="60"/>
      <w:jc w:val="center"/>
    </w:pPr>
    <w:r>
      <w:rPr>
        <w:sz w:val="20"/>
        <w:szCs w:val="20"/>
      </w:rPr>
      <w:t>Sociedade de Advogados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5411" w14:textId="77777777" w:rsidR="00296407" w:rsidRDefault="002964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49E7"/>
    <w:multiLevelType w:val="hybridMultilevel"/>
    <w:tmpl w:val="DFDA5A80"/>
    <w:lvl w:ilvl="0" w:tplc="55DE8C24">
      <w:start w:val="1"/>
      <w:numFmt w:val="bullet"/>
      <w:lvlText w:val="●"/>
      <w:lvlJc w:val="left"/>
      <w:pPr>
        <w:ind w:left="720" w:hanging="360"/>
      </w:pPr>
    </w:lvl>
    <w:lvl w:ilvl="1" w:tplc="AA2038DA">
      <w:start w:val="1"/>
      <w:numFmt w:val="bullet"/>
      <w:lvlText w:val="○"/>
      <w:lvlJc w:val="left"/>
      <w:pPr>
        <w:ind w:left="1440" w:hanging="360"/>
      </w:pPr>
    </w:lvl>
    <w:lvl w:ilvl="2" w:tplc="73CCCC94">
      <w:start w:val="1"/>
      <w:numFmt w:val="bullet"/>
      <w:lvlText w:val="■"/>
      <w:lvlJc w:val="left"/>
      <w:pPr>
        <w:ind w:left="2160" w:hanging="360"/>
      </w:pPr>
    </w:lvl>
    <w:lvl w:ilvl="3" w:tplc="048A7006">
      <w:start w:val="1"/>
      <w:numFmt w:val="bullet"/>
      <w:lvlText w:val="●"/>
      <w:lvlJc w:val="left"/>
      <w:pPr>
        <w:ind w:left="2880" w:hanging="360"/>
      </w:pPr>
    </w:lvl>
    <w:lvl w:ilvl="4" w:tplc="03EA9DD4">
      <w:start w:val="1"/>
      <w:numFmt w:val="bullet"/>
      <w:lvlText w:val="○"/>
      <w:lvlJc w:val="left"/>
      <w:pPr>
        <w:ind w:left="3600" w:hanging="360"/>
      </w:pPr>
    </w:lvl>
    <w:lvl w:ilvl="5" w:tplc="3A541270">
      <w:start w:val="1"/>
      <w:numFmt w:val="bullet"/>
      <w:lvlText w:val="■"/>
      <w:lvlJc w:val="left"/>
      <w:pPr>
        <w:ind w:left="4320" w:hanging="360"/>
      </w:pPr>
    </w:lvl>
    <w:lvl w:ilvl="6" w:tplc="D4009B72">
      <w:start w:val="1"/>
      <w:numFmt w:val="bullet"/>
      <w:lvlText w:val="●"/>
      <w:lvlJc w:val="left"/>
      <w:pPr>
        <w:ind w:left="5040" w:hanging="360"/>
      </w:pPr>
    </w:lvl>
    <w:lvl w:ilvl="7" w:tplc="FBA45100">
      <w:start w:val="1"/>
      <w:numFmt w:val="bullet"/>
      <w:lvlText w:val="●"/>
      <w:lvlJc w:val="left"/>
      <w:pPr>
        <w:ind w:left="5760" w:hanging="360"/>
      </w:pPr>
    </w:lvl>
    <w:lvl w:ilvl="8" w:tplc="E0A487C2">
      <w:start w:val="1"/>
      <w:numFmt w:val="bullet"/>
      <w:lvlText w:val="●"/>
      <w:lvlJc w:val="left"/>
      <w:pPr>
        <w:ind w:left="6480" w:hanging="360"/>
      </w:pPr>
    </w:lvl>
  </w:abstractNum>
  <w:num w:numId="1" w16cid:durableId="20002308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D00"/>
    <w:rsid w:val="001D47CD"/>
    <w:rsid w:val="00201D00"/>
    <w:rsid w:val="00296407"/>
    <w:rsid w:val="00D1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AD5C4D"/>
  <w15:docId w15:val="{F7F75A24-CA4A-9246-9FA5-740898E4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964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6407"/>
  </w:style>
  <w:style w:type="paragraph" w:styleId="Rodap">
    <w:name w:val="footer"/>
    <w:basedOn w:val="Normal"/>
    <w:link w:val="RodapChar"/>
    <w:uiPriority w:val="99"/>
    <w:unhideWhenUsed/>
    <w:rsid w:val="002964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18950D-C277-5547-906D-8C473DB60D95}">
  <we:reference id="wa200010453" version="1.0.0.1" store="pt-BR" storeType="OMEX"/>
  <we:alternateReferences>
    <we:reference id="wa200010453" version="1.0.0.1" store="pt-BR" storeType="OMEX"/>
  </we:alternateReferences>
  <we:properties>
    <we:property name="claude.fileId" value="&quot;66bf77ac-1335-4d4d-a0ea-a31975d20651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1307</Words>
  <Characters>6577</Characters>
  <Application>Microsoft Office Word</Application>
  <DocSecurity>0</DocSecurity>
  <Lines>111</Lines>
  <Paragraphs>41</Paragraphs>
  <ScaleCrop>false</ScaleCrop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Piraci Oliveira</cp:lastModifiedBy>
  <cp:revision>2</cp:revision>
  <dcterms:created xsi:type="dcterms:W3CDTF">2026-06-18T13:10:00Z</dcterms:created>
  <dcterms:modified xsi:type="dcterms:W3CDTF">2026-06-18T14:19:00Z</dcterms:modified>
</cp:coreProperties>
</file>