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578395" w14:textId="77777777" w:rsidR="008F577F" w:rsidRDefault="00000000">
      <w:pPr>
        <w:spacing w:after="240"/>
        <w:jc w:val="right"/>
      </w:pPr>
      <w:r>
        <w:rPr>
          <w:rFonts w:ascii="Palatino Linotype" w:eastAsia="Palatino Linotype" w:hAnsi="Palatino Linotype" w:cs="Palatino Linotype"/>
          <w:sz w:val="24"/>
          <w:szCs w:val="24"/>
        </w:rPr>
        <w:t>São Paulo, 26 de julho de 2026.</w:t>
      </w:r>
    </w:p>
    <w:p w14:paraId="335FC113" w14:textId="77777777" w:rsidR="008F577F" w:rsidRDefault="00000000">
      <w:pPr>
        <w:spacing w:before="120" w:after="120"/>
        <w:jc w:val="center"/>
      </w:pPr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ESTUDO TÉCNICO</w:t>
      </w:r>
    </w:p>
    <w:p w14:paraId="7B7EB67D" w14:textId="77777777" w:rsidR="008F577F" w:rsidRDefault="00000000">
      <w:pPr>
        <w:spacing w:after="360"/>
        <w:jc w:val="center"/>
      </w:pPr>
      <w:r>
        <w:rPr>
          <w:rFonts w:ascii="Palatino Linotype" w:eastAsia="Palatino Linotype" w:hAnsi="Palatino Linotype" w:cs="Palatino Linotype"/>
          <w:i/>
          <w:iCs/>
          <w:sz w:val="22"/>
          <w:szCs w:val="22"/>
        </w:rPr>
        <w:t>Venda de imóveis e a emissão de nota fiscal a partir de 03/08/2026 — LC 214/2025, Ato Conjunto RFB/CGIBS nº 1/2025 e posição atual</w:t>
      </w:r>
    </w:p>
    <w:p w14:paraId="472BC947" w14:textId="77777777" w:rsidR="008F577F" w:rsidRDefault="00000000">
      <w:pPr>
        <w:spacing w:before="480" w:after="360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1. Síntese da questão</w:t>
      </w:r>
    </w:p>
    <w:p w14:paraId="75D589F9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Empresas que alienam bens imóveis (incorporadoras, loteadoras, construtoras que vendem unidades, holdings patrimoniais e SPEs) questionam se, a partir de 03/08/2026, estão obrigadas a emitir nota fiscal pela venda de imóveis. A dúvida decorre da sucessão de três atos: a LC 214/2025, que criou o dever geral de emissão de documento fiscal eletrônico; o Ato Conjunto RFB/CGIBS nº 1/2025, que condicionou a exigência à publicação dos regulamentos; e os regulamentos de abril de 2026 (Decreto nº 12.955/2026 e Resolução CGIBS nº 6/2026), que instituíram o documento próprio do setor — a NF-e ABI, modelo 77 — mas remeteram a data de início a ato conjunto ainda não editado.</w:t>
      </w:r>
    </w:p>
    <w:p w14:paraId="1C1B05DA" w14:textId="77777777" w:rsidR="008F577F" w:rsidRDefault="00000000">
      <w:pPr>
        <w:spacing w:before="480" w:after="360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2. O dever geral da LC 214/2025</w:t>
      </w:r>
    </w:p>
    <w:p w14:paraId="53BC415A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 xml:space="preserve">Enquadramento legal. 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O art. 60 da LC 214/2025 impõe ao sujeito passivo do IBS e da CBS o dever de emitir documento fiscal eletrônico em toda operação com bens ou serviços, inclusive nas operações imunes, isentas ou com alíquota zero (§ 2º). A alienação de imóveis está no campo de incidência (regime específico dos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arts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. 251 a 262 — na incorporação e no parcelamento do solo, IBS e CBS são devidos em cada pagamento, art. 262). Em 2026,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ano-teste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>, PIS/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Cofins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>, ICMS, ISS e IPI seguem vigentes; CBS (0,9%) e IBS (0,1%) aparecem apenas como destaque informativo nos documentos fiscais.</w:t>
      </w:r>
    </w:p>
    <w:p w14:paraId="78240CA2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 xml:space="preserve">Ponto central: </w:t>
      </w:r>
      <w:r>
        <w:rPr>
          <w:rFonts w:ascii="Palatino Linotype" w:eastAsia="Palatino Linotype" w:hAnsi="Palatino Linotype" w:cs="Palatino Linotype"/>
          <w:sz w:val="24"/>
          <w:szCs w:val="24"/>
        </w:rPr>
        <w:t>a LC 214 criou o dever, mas não criou o documento. Para a venda de imóveis não existia — e não existe — documento fiscal apto entre os modelos atuais: a NF-e (mod. 55) documenta circulação de mercadorias e a NFS-e, prestação de serviços. O próprio art. 60, § 3º, remeteu forma, conteúdo e prazos a ato conjunto do CGIBS e da RFB.</w:t>
      </w:r>
    </w:p>
    <w:p w14:paraId="1A05951F" w14:textId="77777777" w:rsidR="008F577F" w:rsidRDefault="00000000">
      <w:pPr>
        <w:spacing w:before="480" w:after="360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3. Ato Conjunto RFB/CGIBS nº 1, de 22/12/2025 — a prorrogação</w:t>
      </w:r>
    </w:p>
    <w:p w14:paraId="633679E3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lastRenderedPageBreak/>
        <w:t xml:space="preserve">O Ato Conjunto nº 1/2025 organizou a exigência para 2026: o art. 2º, § 1º, recepcionou os documentos fiscais já existentes (NF-e,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NFC-e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, NFS-e, CT-e etc.) e o § 2º previu a instituição, pelos regulamentos, de quatro documentos novos — entre eles a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Nota Fiscal Eletrônica de Alienação de Bens Imóveis — NF-e ABI, modelo 77</w:t>
      </w:r>
      <w:r>
        <w:rPr>
          <w:rFonts w:ascii="Palatino Linotype" w:eastAsia="Palatino Linotype" w:hAnsi="Palatino Linotype" w:cs="Palatino Linotype"/>
          <w:sz w:val="24"/>
          <w:szCs w:val="24"/>
        </w:rPr>
        <w:t>, destinada justamente às vendas de imóveis.</w:t>
      </w:r>
    </w:p>
    <w:p w14:paraId="3BEED913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O art. 3º fixou a regra de transição: até o primeiro dia do quarto mês subsequente ao da publicação da parte comum dos regulamentos do IBS e da CBS, não haveria penalidade pela falta dos grupos de IBS/CBS nos documentos, permanecendo a apuração de 2026 meramente informativa. Publicados os regulamentos em 30/04/2026 (Decreto nº 12.955 e Resolução CGIBS nº 6, com a parte comum reconhecida pela Portaria Conjunta MF/CGIBS nº 7/2026), o termo </w:t>
      </w:r>
      <w:proofErr w:type="gramStart"/>
      <w:r>
        <w:rPr>
          <w:rFonts w:ascii="Palatino Linotype" w:eastAsia="Palatino Linotype" w:hAnsi="Palatino Linotype" w:cs="Palatino Linotype"/>
          <w:sz w:val="24"/>
          <w:szCs w:val="24"/>
        </w:rPr>
        <w:t>caiu em</w:t>
      </w:r>
      <w:proofErr w:type="gram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 1º/08/2026 — sábado —, de modo que a exigência operacional recai no primeiro dia útil seguinte: </w:t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segunda-feira, 03/08/2026</w:t>
      </w:r>
      <w:r>
        <w:rPr>
          <w:rFonts w:ascii="Palatino Linotype" w:eastAsia="Palatino Linotype" w:hAnsi="Palatino Linotype" w:cs="Palatino Linotype"/>
          <w:sz w:val="24"/>
          <w:szCs w:val="24"/>
        </w:rPr>
        <w:t>, data a partir da qual os autorizadores rejeitam documento fiscal sem os grupos IBS/CBS (NT 2025.002, v. 1.40, de 20/05/2026).</w:t>
      </w:r>
    </w:p>
    <w:p w14:paraId="550A7F0C" w14:textId="77777777" w:rsidR="008F577F" w:rsidRDefault="00000000">
      <w:pPr>
        <w:spacing w:before="480" w:after="360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4. Os regulamentos de abril/2026 e a NF-e ABI</w:t>
      </w:r>
    </w:p>
    <w:p w14:paraId="0EB8E4B3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O Decreto nº 12.955/2026 (CBS) e a Resolução CGIBS nº 6/2026 (IBS) trataram do tema em três dispositivos espelhados: o art. 112 reproduz o dever de emissão, mas o condiciona expressamente — a emissão se dará “nos termos de ato conjunto da RFB e do CGIBS, </w:t>
      </w:r>
      <w:r>
        <w:rPr>
          <w:rFonts w:ascii="Palatino Linotype" w:eastAsia="Palatino Linotype" w:hAnsi="Palatino Linotype" w:cs="Palatino Linotype"/>
          <w:i/>
          <w:iCs/>
          <w:sz w:val="24"/>
          <w:szCs w:val="24"/>
        </w:rPr>
        <w:t>que definirá as respectivas datas de início de obrigatoriedade de emissão</w:t>
      </w:r>
      <w:r>
        <w:rPr>
          <w:rFonts w:ascii="Palatino Linotype" w:eastAsia="Palatino Linotype" w:hAnsi="Palatino Linotype" w:cs="Palatino Linotype"/>
          <w:sz w:val="24"/>
          <w:szCs w:val="24"/>
        </w:rPr>
        <w:t>”; o art. 113 recepciona os documentos existentes; e o art. 114, III, institui a NF-e ABI, modelo 77.</w:t>
      </w:r>
    </w:p>
    <w:p w14:paraId="662A6BBC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 xml:space="preserve">Situação de fato em julho/2026: </w:t>
      </w:r>
      <w:r>
        <w:rPr>
          <w:rFonts w:ascii="Palatino Linotype" w:eastAsia="Palatino Linotype" w:hAnsi="Palatino Linotype" w:cs="Palatino Linotype"/>
          <w:sz w:val="24"/>
          <w:szCs w:val="24"/>
        </w:rPr>
        <w:t>(i) nenhum ato conjunto fixou a data de início de obrigatoriedade da NF-e ABI, exigência do art. 112; (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ii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) o leiaute do modelo 77 permanece em minuta (MOC NF-e ABI v. 1.00, de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nov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>/2025, e minuta do Anexo I — leiaute e regras de validação, de mar/2026), e o portal técnico registra que o documento “aguarda ato conjunto normativo para sua publicação na forma definitiva”; (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iii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>) não há ambiente de produção disponível para autorização do documento. A própria Receita Federal orienta que o contribuinte impossibilitado de emitir documento fiscal por indisponibilidade imputável ao ente não descumpre obrigação acessória.</w:t>
      </w:r>
    </w:p>
    <w:p w14:paraId="0473FACB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Na mesma direção, o Decreto nº 13.075, de 22/07/2026, adiou para 1º/01/2027 a inscrição no CNPJ e a emissão de documentos fiscais por pessoas físicas (autônomos, produtores </w:t>
      </w:r>
      <w:r>
        <w:rPr>
          <w:rFonts w:ascii="Palatino Linotype" w:eastAsia="Palatino Linotype" w:hAnsi="Palatino Linotype" w:cs="Palatino Linotype"/>
          <w:sz w:val="24"/>
          <w:szCs w:val="24"/>
        </w:rPr>
        <w:lastRenderedPageBreak/>
        <w:t>rurais, locadores PF). Não alcança pessoas jurídicas, mas confirma a diretriz oficial de postergar exigências cujos instrumentos não estão operacionais. A expectativa corrente é que a NF-e ABI só se torne exigível em 2027, com a cobrança efetiva da CBS.</w:t>
      </w:r>
    </w:p>
    <w:p w14:paraId="7068FC02" w14:textId="77777777" w:rsidR="008F577F" w:rsidRDefault="00000000">
      <w:pPr>
        <w:spacing w:before="120" w:after="120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Cronologia normativa: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1500"/>
        <w:gridCol w:w="5960"/>
      </w:tblGrid>
      <w:tr w:rsidR="008F577F" w14:paraId="7528525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8D6C3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>Ato</w:t>
            </w:r>
          </w:p>
        </w:tc>
        <w:tc>
          <w:tcPr>
            <w:tcW w:w="1500" w:type="dxa"/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397E2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>Data</w:t>
            </w:r>
          </w:p>
        </w:tc>
        <w:tc>
          <w:tcPr>
            <w:tcW w:w="5960" w:type="dxa"/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9696E9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>Efeito para a venda de imóveis</w:t>
            </w:r>
          </w:p>
        </w:tc>
      </w:tr>
      <w:tr w:rsidR="008F577F" w14:paraId="23A4D42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ECC54E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LC 214/2025, art. 60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9FD0D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16/01/2025</w:t>
            </w:r>
          </w:p>
        </w:tc>
        <w:tc>
          <w:tcPr>
            <w:tcW w:w="59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DD302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Dever geral de emitir documento fiscal eletrônico em toda operação, inclusive imunes/isentas; sem documento próprio para imóveis.</w:t>
            </w:r>
          </w:p>
        </w:tc>
      </w:tr>
      <w:tr w:rsidR="008F577F" w14:paraId="65CBD1C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6BFA0C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Ato Conjunto RFB/CGIBS nº 1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446F9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22/12/2025</w:t>
            </w:r>
          </w:p>
        </w:tc>
        <w:tc>
          <w:tcPr>
            <w:tcW w:w="59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03832B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Prevê a NF-e ABI (mod. 77) e suspende exigências/penalidades até o 1º dia do 4º mês após a publicação dos regulamentos.</w:t>
            </w:r>
          </w:p>
        </w:tc>
      </w:tr>
      <w:tr w:rsidR="008F577F" w14:paraId="178A0FD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A9761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Decreto 12.955 e Res. CGIBS 6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E3BE7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30/04/2026</w:t>
            </w:r>
          </w:p>
        </w:tc>
        <w:tc>
          <w:tcPr>
            <w:tcW w:w="59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DCFAB0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Instituem a NF-e ABI (art. 114, III), mas condicionam o início da emissão a ato conjunto que fixará as datas (art. 112).</w:t>
            </w:r>
          </w:p>
        </w:tc>
      </w:tr>
      <w:tr w:rsidR="008F577F" w14:paraId="505EBB4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8DDC0F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NT 2025.002, v. 1.40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FED17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20/05/2026</w:t>
            </w:r>
          </w:p>
        </w:tc>
        <w:tc>
          <w:tcPr>
            <w:tcW w:w="59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74354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 xml:space="preserve">Rejeição, a partir de 03/08/2026, de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DF-e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emitidos sem os grupos IBS/CBS — alcança apenas documentos já existentes (NF-e,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NFC-e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, NFS-e etc.).</w:t>
            </w:r>
          </w:p>
        </w:tc>
      </w:tr>
      <w:tr w:rsidR="008F577F" w14:paraId="55A33A9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43F48D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Decreto 13.075/2026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9A9EE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22/07/2026</w:t>
            </w:r>
          </w:p>
        </w:tc>
        <w:tc>
          <w:tcPr>
            <w:tcW w:w="59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8C7BB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 xml:space="preserve">Adia para 1º/01/2027 CNPJ e emissão de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DF-e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por pessoas físicas; reforça a diretriz de postergação.</w:t>
            </w:r>
          </w:p>
        </w:tc>
      </w:tr>
      <w:tr w:rsidR="008F577F" w14:paraId="7311673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0B4450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Ato conjunto da NF-e ABI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89744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não editado</w:t>
            </w:r>
          </w:p>
        </w:tc>
        <w:tc>
          <w:tcPr>
            <w:tcW w:w="59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FDC40" w14:textId="77777777" w:rsidR="008F577F" w:rsidRDefault="00000000">
            <w:pPr>
              <w:spacing w:after="40"/>
            </w:pPr>
            <w:r>
              <w:rPr>
                <w:rFonts w:ascii="Palatino Linotype" w:eastAsia="Palatino Linotype" w:hAnsi="Palatino Linotype" w:cs="Palatino Linotype"/>
              </w:rPr>
              <w:t>Sem ele, não há data de início de obrigatoriedade do modelo 77; leiaute ainda em minuta e sem ambiente de produção.</w:t>
            </w:r>
          </w:p>
        </w:tc>
      </w:tr>
    </w:tbl>
    <w:p w14:paraId="7DB11B91" w14:textId="77777777" w:rsidR="008F577F" w:rsidRDefault="00000000">
      <w:pPr>
        <w:spacing w:before="480" w:after="360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5. A inexistência da NF-e ABI</w:t>
      </w:r>
    </w:p>
    <w:p w14:paraId="0E7B7640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 xml:space="preserve">Ponto decisivo do enquadramento: a NF-e ABI, hoje, não existe como documento fiscal apto a ser emitido. </w:t>
      </w:r>
      <w:r>
        <w:rPr>
          <w:rFonts w:ascii="Palatino Linotype" w:eastAsia="Palatino Linotype" w:hAnsi="Palatino Linotype" w:cs="Palatino Linotype"/>
          <w:sz w:val="24"/>
          <w:szCs w:val="24"/>
        </w:rPr>
        <w:t>A instituição do art. 114, III, do Decreto nº 12.955/2026 e da Resolução CGIBS nº 6/2026 é meramente nominal — cria a figura, mas não a torna operante. Faltam, cumulativamente:</w:t>
      </w:r>
    </w:p>
    <w:p w14:paraId="3174305F" w14:textId="77777777" w:rsidR="008F577F" w:rsidRDefault="00000000">
      <w:pPr>
        <w:pStyle w:val="PargrafodaLista"/>
        <w:numPr>
          <w:ilvl w:val="0"/>
          <w:numId w:val="2"/>
        </w:numPr>
        <w:spacing w:after="10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o ato conjunto RFB/CGIBS exigido pelo art. 112, único instrumento apto a fixar a data de início de obrigatoriedade de emissão — não editado até esta data;</w:t>
      </w:r>
    </w:p>
    <w:p w14:paraId="51706C0D" w14:textId="77777777" w:rsidR="008F577F" w:rsidRDefault="00000000">
      <w:pPr>
        <w:pStyle w:val="PargrafodaLista"/>
        <w:numPr>
          <w:ilvl w:val="0"/>
          <w:numId w:val="2"/>
        </w:numPr>
        <w:spacing w:after="10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o leiaute definitivo: o MOC do modelo 77 (v. 1.00,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nov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>/2025) e o Anexo I — leiaute e regras de validação (mar/2026) circulam apenas como minutas técnicas, “passíveis de ajustes, complementações e alterações”, e o portal técnico da SVRS registra expressamente que o documento “aguarda ato conjunto normativo para sua publicação na forma definitiva”;</w:t>
      </w:r>
    </w:p>
    <w:p w14:paraId="60EE09C2" w14:textId="77777777" w:rsidR="008F577F" w:rsidRDefault="00000000">
      <w:pPr>
        <w:pStyle w:val="PargrafodaLista"/>
        <w:numPr>
          <w:ilvl w:val="0"/>
          <w:numId w:val="2"/>
        </w:numPr>
        <w:spacing w:after="10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o ambiente autorizador: não há ambiente de produção (nem cronograma oficial de homologação) que recepcione e autorize uma NF-e ABI — ainda que o contribuinte quisesse emitir, não haveria onde;</w:t>
      </w:r>
    </w:p>
    <w:p w14:paraId="26F94BEB" w14:textId="77777777" w:rsidR="008F577F" w:rsidRDefault="00000000">
      <w:pPr>
        <w:pStyle w:val="PargrafodaLista"/>
        <w:numPr>
          <w:ilvl w:val="0"/>
          <w:numId w:val="2"/>
        </w:numPr>
        <w:spacing w:after="16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lastRenderedPageBreak/>
        <w:t>qualquer previsão da NF-e ABI na NT 2025.002 (v. 1.40), que rege a rejeição de 03/08/2026 — a validação alcança apenas os documentos já existentes do art. 113.</w:t>
      </w:r>
    </w:p>
    <w:p w14:paraId="44E23430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Trata-se, portanto, de obrigação sem objeto: o dever de emitir (art. 60 da LC 214/2025) não pode ser exigido enquanto o documento que o instrumentaliza não existir em forma definitiva e operacional. A impossibilidade é material e decorre exclusivamente da mora do próprio Fisco — hipótese em que, pela orientação da RFB para 2026, não há descumprimento de obrigação acessória pelo contribuinte.</w:t>
      </w:r>
    </w:p>
    <w:p w14:paraId="34F8E9A8" w14:textId="77777777" w:rsidR="008F577F" w:rsidRDefault="00000000">
      <w:pPr>
        <w:spacing w:before="480" w:after="360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6. Conclusão</w:t>
      </w:r>
    </w:p>
    <w:p w14:paraId="4C28B22A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Não há obrigação de emitir nota fiscal pela venda de imóveis a partir de 03/08/2026.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 O dever do art. 60 da LC 214/2025 só se aperfeiçoa com o documento fiscal próprio da operação — a NF-e ABI, modelo 77 —, e o art. 112 do Decreto nº 12.955/2026 e da Resolução CGIBS nº 6/2026 condiciona o início da emissão a ato conjunto RFB/CGIBS que ainda não foi editado. Sem data fixada, sem leiaute definitivo e sem ambiente de produção, a obrigação é inexigível e a impossibilidade não é imputável ao contribuinte. Nenhum dos documentos hoje existentes substitui a NF-e ABI: a NF-e (mod. 55) é restrita a mercadorias e a NFS-e, a serviços — não se deve “adaptar” esses modelos para documentar alienação de imóvel.</w:t>
      </w:r>
    </w:p>
    <w:p w14:paraId="5047D0D2" w14:textId="77777777" w:rsidR="008F577F" w:rsidRDefault="00000000">
      <w:pPr>
        <w:spacing w:after="120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Consequência prática — o que fazer desde já:</w:t>
      </w:r>
    </w:p>
    <w:p w14:paraId="6E22E0C7" w14:textId="77777777" w:rsidR="008F577F" w:rsidRDefault="00000000">
      <w:pPr>
        <w:pStyle w:val="PargrafodaLista"/>
        <w:numPr>
          <w:ilvl w:val="0"/>
          <w:numId w:val="2"/>
        </w:numPr>
        <w:spacing w:after="10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continuar documentando as vendas por contrato, escritura e registros financeiros internos, mantendo trilha de auditoria por unidade imobiliária (art. 262 da LC 214 — incidência em cada pagamento) e a vinculação ao CIB (IN RFB nº 2.275/2025);</w:t>
      </w:r>
    </w:p>
    <w:p w14:paraId="4B161FFD" w14:textId="77777777" w:rsidR="008F577F" w:rsidRDefault="00000000">
      <w:pPr>
        <w:pStyle w:val="PargrafodaLista"/>
        <w:numPr>
          <w:ilvl w:val="0"/>
          <w:numId w:val="2"/>
        </w:numPr>
        <w:spacing w:after="10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destacar IBS/CBS, desde 1º/08/2026 (rejeição a partir de 03/08/2026), em todos os documentos que a empresa já emite — NFS-e de corretagem, administração e serviços de construção, NF-e de venda de materiais —, pois para esses a exigência está plenamente em vigor;</w:t>
      </w:r>
    </w:p>
    <w:p w14:paraId="2AD603C1" w14:textId="77777777" w:rsidR="008F577F" w:rsidRDefault="00000000">
      <w:pPr>
        <w:pStyle w:val="PargrafodaLista"/>
        <w:numPr>
          <w:ilvl w:val="0"/>
          <w:numId w:val="2"/>
        </w:numPr>
        <w:spacing w:after="10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preparar sistemas para o modelo 77 (nota única por alienação com eventos de pagamento vinculados, conforme a minuta do MOC) e aderir ao ambiente de testes quando disponibilizado;</w:t>
      </w:r>
    </w:p>
    <w:p w14:paraId="6F5ACA98" w14:textId="77777777" w:rsidR="008F577F" w:rsidRDefault="00000000">
      <w:pPr>
        <w:pStyle w:val="PargrafodaLista"/>
        <w:numPr>
          <w:ilvl w:val="0"/>
          <w:numId w:val="2"/>
        </w:numPr>
        <w:spacing w:after="22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>monitorar a publicação do ato conjunto RFB/CGIBS que fixará a data de início — provável exigência apenas em 2027.</w:t>
      </w:r>
    </w:p>
    <w:p w14:paraId="091B0E00" w14:textId="77777777" w:rsidR="008F577F" w:rsidRDefault="00000000">
      <w:pPr>
        <w:spacing w:after="160" w:line="300" w:lineRule="auto"/>
        <w:jc w:val="both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 xml:space="preserve">Ressalva de prudência: 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a legislação não traz dispositivo expresso dizendo “a NF-e ABI está dispensada até tal data”; a inexigibilidade decorre da ausência do ato conjunto exigido pelo art. 112 e da indisponibilidade do documento. Essa é a leitura mais </w:t>
      </w:r>
      <w:r>
        <w:rPr>
          <w:rFonts w:ascii="Palatino Linotype" w:eastAsia="Palatino Linotype" w:hAnsi="Palatino Linotype" w:cs="Palatino Linotype"/>
          <w:sz w:val="24"/>
          <w:szCs w:val="24"/>
        </w:rPr>
        <w:lastRenderedPageBreak/>
        <w:t>provável e a adotada pelo mercado e pelas orientações oficiais da RFB para 2026. Recomenda-se formalizar em dossiê interno a impossibilidade material de emissão (prints do portal técnico e do estágio de minuta), como salvaguarda em eventual questionamento futuro.</w:t>
      </w:r>
    </w:p>
    <w:p w14:paraId="6DF4D550" w14:textId="77777777" w:rsidR="008F577F" w:rsidRDefault="00000000">
      <w:pPr>
        <w:spacing w:before="240"/>
        <w:jc w:val="both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</w:p>
    <w:p w14:paraId="64A84A8F" w14:textId="77777777" w:rsidR="008F577F" w:rsidRDefault="00000000">
      <w:pPr>
        <w:spacing w:before="240"/>
        <w:jc w:val="center"/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</w:rPr>
        <w:t>Piraci Oliveira - OAB/SP 200.270</w:t>
      </w:r>
    </w:p>
    <w:sectPr w:rsidR="008F577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87" w:right="1247" w:bottom="1247" w:left="1587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458AAE" w14:textId="77777777" w:rsidR="000846EC" w:rsidRDefault="000846EC">
      <w:r>
        <w:separator/>
      </w:r>
    </w:p>
  </w:endnote>
  <w:endnote w:type="continuationSeparator" w:id="0">
    <w:p w14:paraId="36BB93C2" w14:textId="77777777" w:rsidR="000846EC" w:rsidRDefault="0008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C3C615" w14:textId="6EFBFB7B" w:rsidR="008F577F" w:rsidRDefault="00000000">
    <w:pPr>
      <w:jc w:val="center"/>
    </w:pPr>
    <w:r>
      <w:rPr>
        <w:rFonts w:ascii="Palatino Linotype" w:eastAsia="Palatino Linotype" w:hAnsi="Palatino Linotype" w:cs="Palatino Linotype"/>
        <w:color w:val="808080"/>
        <w:sz w:val="18"/>
        <w:szCs w:val="18"/>
      </w:rPr>
      <w:fldChar w:fldCharType="begin"/>
    </w:r>
    <w:r>
      <w:rPr>
        <w:rFonts w:ascii="Palatino Linotype" w:eastAsia="Palatino Linotype" w:hAnsi="Palatino Linotype" w:cs="Palatino Linotype"/>
        <w:color w:val="808080"/>
        <w:sz w:val="18"/>
        <w:szCs w:val="18"/>
      </w:rPr>
      <w:instrText>PAGE</w:instrText>
    </w:r>
    <w:r>
      <w:rPr>
        <w:rFonts w:ascii="Palatino Linotype" w:eastAsia="Palatino Linotype" w:hAnsi="Palatino Linotype" w:cs="Palatino Linotype"/>
        <w:color w:val="808080"/>
        <w:sz w:val="18"/>
        <w:szCs w:val="18"/>
      </w:rPr>
      <w:fldChar w:fldCharType="separate"/>
    </w:r>
    <w:r w:rsidR="00E916B3">
      <w:rPr>
        <w:rFonts w:ascii="Palatino Linotype" w:eastAsia="Palatino Linotype" w:hAnsi="Palatino Linotype" w:cs="Palatino Linotype"/>
        <w:noProof/>
        <w:color w:val="808080"/>
        <w:sz w:val="18"/>
        <w:szCs w:val="18"/>
      </w:rPr>
      <w:t>2</w:t>
    </w:r>
    <w:r>
      <w:rPr>
        <w:rFonts w:ascii="Palatino Linotype" w:eastAsia="Palatino Linotype" w:hAnsi="Palatino Linotype" w:cs="Palatino Linotype"/>
        <w:color w:val="8080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3BA783" w14:textId="77777777" w:rsidR="008F577F" w:rsidRDefault="00000000">
    <w:pPr>
      <w:jc w:val="center"/>
    </w:pPr>
    <w:r>
      <w:rPr>
        <w:rFonts w:ascii="Palatino Linotype" w:eastAsia="Palatino Linotype" w:hAnsi="Palatino Linotype" w:cs="Palatino Linotype"/>
        <w:color w:val="808080"/>
        <w:sz w:val="18"/>
        <w:szCs w:val="18"/>
      </w:rPr>
      <w:fldChar w:fldCharType="begin"/>
    </w:r>
    <w:r>
      <w:rPr>
        <w:rFonts w:ascii="Palatino Linotype" w:eastAsia="Palatino Linotype" w:hAnsi="Palatino Linotype" w:cs="Palatino Linotype"/>
        <w:color w:val="808080"/>
        <w:sz w:val="18"/>
        <w:szCs w:val="18"/>
      </w:rPr>
      <w:instrText>PAGE</w:instrText>
    </w:r>
    <w:r>
      <w:rPr>
        <w:rFonts w:ascii="Palatino Linotype" w:eastAsia="Palatino Linotype" w:hAnsi="Palatino Linotype" w:cs="Palatino Linotype"/>
        <w:color w:val="808080"/>
        <w:sz w:val="18"/>
        <w:szCs w:val="18"/>
      </w:rPr>
      <w:fldChar w:fldCharType="separate"/>
    </w:r>
    <w:r w:rsidR="00E916B3">
      <w:rPr>
        <w:rFonts w:ascii="Palatino Linotype" w:eastAsia="Palatino Linotype" w:hAnsi="Palatino Linotype" w:cs="Palatino Linotype"/>
        <w:noProof/>
        <w:color w:val="808080"/>
        <w:sz w:val="18"/>
        <w:szCs w:val="18"/>
      </w:rPr>
      <w:t>1</w:t>
    </w:r>
    <w:r>
      <w:rPr>
        <w:rFonts w:ascii="Palatino Linotype" w:eastAsia="Palatino Linotype" w:hAnsi="Palatino Linotype" w:cs="Palatino Linotype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7E7C51" w14:textId="77777777" w:rsidR="000846EC" w:rsidRDefault="000846EC">
      <w:r>
        <w:separator/>
      </w:r>
    </w:p>
  </w:footnote>
  <w:footnote w:type="continuationSeparator" w:id="0">
    <w:p w14:paraId="47F68582" w14:textId="77777777" w:rsidR="000846EC" w:rsidRDefault="0008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C101D" w14:textId="77777777" w:rsidR="008F577F" w:rsidRDefault="00000000">
    <w:pPr>
      <w:pBdr>
        <w:bottom w:val="single" w:sz="4" w:space="4" w:color="808080"/>
      </w:pBdr>
      <w:spacing w:after="120"/>
      <w:jc w:val="center"/>
    </w:pPr>
    <w:r>
      <w:rPr>
        <w:rFonts w:ascii="Palatino Linotype" w:eastAsia="Palatino Linotype" w:hAnsi="Palatino Linotype" w:cs="Palatino Linotype"/>
        <w:color w:val="404040"/>
        <w:sz w:val="18"/>
        <w:szCs w:val="18"/>
      </w:rPr>
      <w:t>PIRACI OLIVEIRA — Sociedade de Advogados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C64293" w14:textId="77777777" w:rsidR="008F577F" w:rsidRDefault="00000000">
    <w:pPr>
      <w:jc w:val="center"/>
    </w:pPr>
    <w:r>
      <w:rPr>
        <w:rFonts w:ascii="Palatino Linotype" w:eastAsia="Palatino Linotype" w:hAnsi="Palatino Linotype" w:cs="Palatino Linotype"/>
        <w:b/>
        <w:bCs/>
        <w:sz w:val="30"/>
        <w:szCs w:val="30"/>
      </w:rPr>
      <w:t>PIRACI OLIVEIRA</w:t>
    </w:r>
  </w:p>
  <w:p w14:paraId="43F4C1EA" w14:textId="77777777" w:rsidR="008F577F" w:rsidRDefault="00000000">
    <w:pPr>
      <w:pBdr>
        <w:bottom w:val="single" w:sz="6" w:space="4" w:color="404040"/>
      </w:pBdr>
      <w:spacing w:after="120"/>
      <w:jc w:val="center"/>
    </w:pPr>
    <w:r>
      <w:rPr>
        <w:rFonts w:ascii="Palatino Linotype" w:eastAsia="Palatino Linotype" w:hAnsi="Palatino Linotype" w:cs="Palatino Linotype"/>
        <w:sz w:val="18"/>
        <w:szCs w:val="18"/>
      </w:rPr>
      <w:t>S O C I E D A D E   D E   A D V O G A D O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EA5CCA"/>
    <w:multiLevelType w:val="hybridMultilevel"/>
    <w:tmpl w:val="D756A4A6"/>
    <w:lvl w:ilvl="0" w:tplc="02DAD04A">
      <w:start w:val="1"/>
      <w:numFmt w:val="bullet"/>
      <w:lvlText w:val="●"/>
      <w:lvlJc w:val="left"/>
      <w:pPr>
        <w:ind w:left="720" w:hanging="360"/>
      </w:pPr>
    </w:lvl>
    <w:lvl w:ilvl="1" w:tplc="37563CEE">
      <w:start w:val="1"/>
      <w:numFmt w:val="bullet"/>
      <w:lvlText w:val="○"/>
      <w:lvlJc w:val="left"/>
      <w:pPr>
        <w:ind w:left="1440" w:hanging="360"/>
      </w:pPr>
    </w:lvl>
    <w:lvl w:ilvl="2" w:tplc="01A09902">
      <w:start w:val="1"/>
      <w:numFmt w:val="bullet"/>
      <w:lvlText w:val="■"/>
      <w:lvlJc w:val="left"/>
      <w:pPr>
        <w:ind w:left="2160" w:hanging="360"/>
      </w:pPr>
    </w:lvl>
    <w:lvl w:ilvl="3" w:tplc="7E4CC01E">
      <w:start w:val="1"/>
      <w:numFmt w:val="bullet"/>
      <w:lvlText w:val="●"/>
      <w:lvlJc w:val="left"/>
      <w:pPr>
        <w:ind w:left="2880" w:hanging="360"/>
      </w:pPr>
    </w:lvl>
    <w:lvl w:ilvl="4" w:tplc="F8207A12">
      <w:start w:val="1"/>
      <w:numFmt w:val="bullet"/>
      <w:lvlText w:val="○"/>
      <w:lvlJc w:val="left"/>
      <w:pPr>
        <w:ind w:left="3600" w:hanging="360"/>
      </w:pPr>
    </w:lvl>
    <w:lvl w:ilvl="5" w:tplc="7B1695E2">
      <w:start w:val="1"/>
      <w:numFmt w:val="bullet"/>
      <w:lvlText w:val="■"/>
      <w:lvlJc w:val="left"/>
      <w:pPr>
        <w:ind w:left="4320" w:hanging="360"/>
      </w:pPr>
    </w:lvl>
    <w:lvl w:ilvl="6" w:tplc="7730EA7C">
      <w:start w:val="1"/>
      <w:numFmt w:val="bullet"/>
      <w:lvlText w:val="●"/>
      <w:lvlJc w:val="left"/>
      <w:pPr>
        <w:ind w:left="5040" w:hanging="360"/>
      </w:pPr>
    </w:lvl>
    <w:lvl w:ilvl="7" w:tplc="2C1ED07E">
      <w:start w:val="1"/>
      <w:numFmt w:val="bullet"/>
      <w:lvlText w:val="●"/>
      <w:lvlJc w:val="left"/>
      <w:pPr>
        <w:ind w:left="5760" w:hanging="360"/>
      </w:pPr>
    </w:lvl>
    <w:lvl w:ilvl="8" w:tplc="178A817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200796"/>
    <w:multiLevelType w:val="hybridMultilevel"/>
    <w:tmpl w:val="581ECC40"/>
    <w:lvl w:ilvl="0" w:tplc="26C6D660">
      <w:start w:val="1"/>
      <w:numFmt w:val="bullet"/>
      <w:lvlText w:val="–"/>
      <w:lvlJc w:val="left"/>
      <w:pPr>
        <w:ind w:left="360" w:hanging="260"/>
      </w:pPr>
    </w:lvl>
    <w:lvl w:ilvl="1" w:tplc="9830E93E">
      <w:numFmt w:val="decimal"/>
      <w:lvlText w:val=""/>
      <w:lvlJc w:val="left"/>
    </w:lvl>
    <w:lvl w:ilvl="2" w:tplc="A7CCDE34">
      <w:numFmt w:val="decimal"/>
      <w:lvlText w:val=""/>
      <w:lvlJc w:val="left"/>
    </w:lvl>
    <w:lvl w:ilvl="3" w:tplc="F74E2B8C">
      <w:numFmt w:val="decimal"/>
      <w:lvlText w:val=""/>
      <w:lvlJc w:val="left"/>
    </w:lvl>
    <w:lvl w:ilvl="4" w:tplc="EE9428D2">
      <w:numFmt w:val="decimal"/>
      <w:lvlText w:val=""/>
      <w:lvlJc w:val="left"/>
    </w:lvl>
    <w:lvl w:ilvl="5" w:tplc="55EEDDEA">
      <w:numFmt w:val="decimal"/>
      <w:lvlText w:val=""/>
      <w:lvlJc w:val="left"/>
    </w:lvl>
    <w:lvl w:ilvl="6" w:tplc="0D4EB542">
      <w:numFmt w:val="decimal"/>
      <w:lvlText w:val=""/>
      <w:lvlJc w:val="left"/>
    </w:lvl>
    <w:lvl w:ilvl="7" w:tplc="3E9AF030">
      <w:numFmt w:val="decimal"/>
      <w:lvlText w:val=""/>
      <w:lvlJc w:val="left"/>
    </w:lvl>
    <w:lvl w:ilvl="8" w:tplc="226E1EC2">
      <w:numFmt w:val="decimal"/>
      <w:lvlText w:val=""/>
      <w:lvlJc w:val="left"/>
    </w:lvl>
  </w:abstractNum>
  <w:num w:numId="1" w16cid:durableId="150096360">
    <w:abstractNumId w:val="0"/>
    <w:lvlOverride w:ilvl="0">
      <w:startOverride w:val="1"/>
    </w:lvlOverride>
  </w:num>
  <w:num w:numId="2" w16cid:durableId="213602085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77F"/>
    <w:rsid w:val="000846EC"/>
    <w:rsid w:val="008F577F"/>
    <w:rsid w:val="00CE7DA1"/>
    <w:rsid w:val="00E9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F1D19"/>
  <w15:docId w15:val="{1644E885-6827-4F47-A5E6-842BCA85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1441</Words>
  <Characters>7754</Characters>
  <Application>Microsoft Office Word</Application>
  <DocSecurity>0</DocSecurity>
  <Lines>127</Lines>
  <Paragraphs>28</Paragraphs>
  <ScaleCrop>false</ScaleCrop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Piraci Oliveira</cp:lastModifiedBy>
  <cp:revision>2</cp:revision>
  <dcterms:created xsi:type="dcterms:W3CDTF">2026-07-26T11:44:00Z</dcterms:created>
  <dcterms:modified xsi:type="dcterms:W3CDTF">2026-07-26T11:44:00Z</dcterms:modified>
</cp:coreProperties>
</file>