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DDA111" w14:textId="77777777" w:rsidR="007F23FB" w:rsidRDefault="00000000">
      <w:pPr>
        <w:spacing w:before="120" w:after="60"/>
        <w:jc w:val="center"/>
      </w:pPr>
      <w:r>
        <w:rPr>
          <w:b/>
          <w:sz w:val="28"/>
        </w:rPr>
        <w:t>PARECER JURÍDICO – DESTAQUE DE CBS E IBS NOS DOCUMENTOS FISCAIS ELETRÔNICOS A PARTIR DE 03/08/2026</w:t>
      </w:r>
    </w:p>
    <w:p w14:paraId="3B78F00E" w14:textId="77777777" w:rsidR="007F23FB" w:rsidRDefault="00000000">
      <w:pPr>
        <w:spacing w:after="240"/>
        <w:jc w:val="right"/>
      </w:pPr>
      <w:r>
        <w:t>São Paulo, 1º de agosto de 2026</w:t>
      </w:r>
    </w:p>
    <w:p w14:paraId="299E0BB3" w14:textId="0488BE46" w:rsidR="007F23FB" w:rsidRDefault="0052318A">
      <w:pPr>
        <w:spacing w:before="480" w:after="360"/>
      </w:pPr>
      <w:r>
        <w:rPr>
          <w:b/>
          <w:sz w:val="26"/>
        </w:rPr>
        <w:t>1 IDENTIFICAÇÃO</w:t>
      </w:r>
      <w:r w:rsidR="00000000">
        <w:rPr>
          <w:b/>
          <w:sz w:val="26"/>
        </w:rPr>
        <w:t xml:space="preserve"> DA CONSULTA E DA INDAGAÇÃO</w:t>
      </w:r>
    </w:p>
    <w:p w14:paraId="2F3397DD" w14:textId="77777777" w:rsidR="007F23FB" w:rsidRDefault="00000000">
      <w:pPr>
        <w:spacing w:after="160"/>
        <w:jc w:val="both"/>
      </w:pPr>
      <w:r>
        <w:t>O presente parecer examina, à luz do Ato Conjunto RFB/CGIBS nº 4, de 30 de julho de 2026, e da posição mais recente divulgada pela Receita Federal e pelo Comitê Gestor do IBS, o alcance da obrigatoriedade de preenchimento dos campos de CBS e IBS nos documentos fiscais eletrônicos a partir de 03/08/2026.</w:t>
      </w:r>
    </w:p>
    <w:p w14:paraId="6955B7D9" w14:textId="77777777" w:rsidR="007F23FB" w:rsidRDefault="00000000">
      <w:pPr>
        <w:spacing w:after="160"/>
        <w:jc w:val="both"/>
      </w:pPr>
      <w:r>
        <w:t>Indaga-se, em síntese: (i) quais atividades e segmentos estão compreendidos no cronograma de 03/08/2026; e (</w:t>
      </w:r>
      <w:proofErr w:type="spellStart"/>
      <w:r>
        <w:t>ii</w:t>
      </w:r>
      <w:proofErr w:type="spellEnd"/>
      <w:r>
        <w:t>) qual o efeito prático da anunciada suspensão da rejeição dos documentos fiscais emitidos sem o preenchimento dos campos de CBS e IBS.</w:t>
      </w:r>
    </w:p>
    <w:p w14:paraId="187AF360" w14:textId="77777777" w:rsidR="007F23FB" w:rsidRDefault="00000000">
      <w:pPr>
        <w:spacing w:after="160"/>
        <w:jc w:val="both"/>
      </w:pPr>
      <w:r>
        <w:t>A questão central consiste em separar o cronograma normativo de implantação, que permanece em vigor, do efeito sistêmico de rejeição do documento fiscal, que a administração tributária anunciou pretender suspender.</w:t>
      </w:r>
    </w:p>
    <w:p w14:paraId="3FD760CC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2  RELATÓRIO</w:t>
      </w:r>
      <w:proofErr w:type="gramEnd"/>
    </w:p>
    <w:p w14:paraId="44A9516B" w14:textId="77777777" w:rsidR="007F23FB" w:rsidRDefault="00000000">
      <w:pPr>
        <w:spacing w:after="160"/>
        <w:jc w:val="both"/>
      </w:pPr>
      <w:r>
        <w:t>O Ato Conjunto RFB/CGIBS nº 4/2026 fixou as datas de início da obrigatoriedade de preenchimento das informações de CBS e IBS por tipo de documento fiscal eletrônico, com primeira etapa em 03/08/2026.</w:t>
      </w:r>
    </w:p>
    <w:p w14:paraId="2EA55183" w14:textId="77777777" w:rsidR="007F23FB" w:rsidRDefault="00000000">
      <w:pPr>
        <w:spacing w:after="160"/>
        <w:jc w:val="both"/>
      </w:pPr>
      <w:r>
        <w:t>Após a publicação do ato, a Receita Federal e o CGIBS informaram que aprovarão, em Ato Técnico Conjunto, alteração das regras de validação, a fim de evitar a rejeição automática dos documentos fiscais emitidos sem essas informações. A consulta pede a atualização do exame do tema diante desse novo cenário.</w:t>
      </w:r>
    </w:p>
    <w:p w14:paraId="1734C7B0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  FUNDAMENTAÇÃO</w:t>
      </w:r>
      <w:proofErr w:type="gramEnd"/>
      <w:r>
        <w:rPr>
          <w:b/>
          <w:sz w:val="26"/>
        </w:rPr>
        <w:t xml:space="preserve"> JURÍDICA</w:t>
      </w:r>
    </w:p>
    <w:p w14:paraId="5EDD6E26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3.1  Do</w:t>
      </w:r>
      <w:proofErr w:type="gramEnd"/>
      <w:r>
        <w:rPr>
          <w:b/>
          <w:sz w:val="26"/>
        </w:rPr>
        <w:t xml:space="preserve"> cronograma do Ato Conjunto nº 4/2026: documentos e segmentos alcançados em 03/08/2026</w:t>
      </w:r>
    </w:p>
    <w:p w14:paraId="6FD77F05" w14:textId="77777777" w:rsidR="007F23FB" w:rsidRDefault="00000000">
      <w:pPr>
        <w:spacing w:after="160"/>
        <w:jc w:val="both"/>
      </w:pPr>
      <w:r>
        <w:t xml:space="preserve">Sob leitura estrita do Ato Conjunto nº 4/2026, a partir de 03/08/2026 a obrigatoriedade alcança, em regra, os contribuintes do regime regular que emitam NF-e, </w:t>
      </w:r>
      <w:proofErr w:type="spellStart"/>
      <w:r>
        <w:t>NFC-e</w:t>
      </w:r>
      <w:proofErr w:type="spellEnd"/>
      <w:r>
        <w:t xml:space="preserve">, CT-e, CT-e OS, MDF-e, GTV-e, NF3e, </w:t>
      </w:r>
      <w:proofErr w:type="spellStart"/>
      <w:r>
        <w:t>DC-e</w:t>
      </w:r>
      <w:proofErr w:type="spellEnd"/>
      <w:r>
        <w:t>, NFS-e Via e BP-e, este último quanto ao transporte de passageiros não enquadrado como semiurbano, metropolitano ou aéreo.</w:t>
      </w:r>
    </w:p>
    <w:p w14:paraId="3930CD24" w14:textId="77777777" w:rsidR="007F23FB" w:rsidRDefault="00000000">
      <w:pPr>
        <w:spacing w:after="160"/>
        <w:jc w:val="both"/>
      </w:pPr>
      <w:r>
        <w:lastRenderedPageBreak/>
        <w:t>O quadro a seguir resume os documentos da primeira etapa e os segmentos econômicos que normalmente os utilizam: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235"/>
        <w:gridCol w:w="3235"/>
      </w:tblGrid>
      <w:tr w:rsidR="007F23FB" w14:paraId="4B8B513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AAE54" w14:textId="77777777" w:rsidR="007F23FB" w:rsidRDefault="00000000">
            <w:pPr>
              <w:spacing w:line="252" w:lineRule="auto"/>
            </w:pPr>
            <w:r>
              <w:rPr>
                <w:b/>
                <w:color w:val="1F3864"/>
                <w:sz w:val="22"/>
              </w:rPr>
              <w:t>Documento fiscal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E949A" w14:textId="77777777" w:rsidR="007F23FB" w:rsidRDefault="00000000">
            <w:pPr>
              <w:spacing w:line="252" w:lineRule="auto"/>
            </w:pPr>
            <w:r>
              <w:rPr>
                <w:b/>
                <w:color w:val="1F3864"/>
                <w:sz w:val="22"/>
              </w:rPr>
              <w:t>Início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78162" w14:textId="77777777" w:rsidR="007F23FB" w:rsidRDefault="00000000">
            <w:pPr>
              <w:spacing w:line="252" w:lineRule="auto"/>
            </w:pPr>
            <w:r>
              <w:rPr>
                <w:b/>
                <w:color w:val="1F3864"/>
                <w:sz w:val="22"/>
              </w:rPr>
              <w:t>Segmentos e atividades alcançados</w:t>
            </w:r>
          </w:p>
        </w:tc>
      </w:tr>
      <w:tr w:rsidR="007F23FB" w14:paraId="2E2C528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85353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NF-e (modelo 55)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1598A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4DA6C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Indústria, atacado, varejo B2B e operações com mercadorias em geral, ressalvadas as exceções do próprio ato</w:t>
            </w:r>
          </w:p>
        </w:tc>
      </w:tr>
      <w:tr w:rsidR="007F23FB" w14:paraId="6CBC80B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6D118" w14:textId="77777777" w:rsidR="007F23FB" w:rsidRDefault="00000000">
            <w:pPr>
              <w:spacing w:line="252" w:lineRule="auto"/>
            </w:pPr>
            <w:proofErr w:type="spellStart"/>
            <w:r>
              <w:rPr>
                <w:color w:val="1F3864"/>
                <w:sz w:val="22"/>
              </w:rPr>
              <w:t>NFC-e</w:t>
            </w:r>
            <w:proofErr w:type="spellEnd"/>
            <w:r>
              <w:rPr>
                <w:color w:val="1F3864"/>
                <w:sz w:val="22"/>
              </w:rPr>
              <w:t xml:space="preserve"> (modelo 65)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06D93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284A6F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 xml:space="preserve">Varejo ao consumidor final que utilize </w:t>
            </w:r>
            <w:proofErr w:type="spellStart"/>
            <w:r>
              <w:rPr>
                <w:color w:val="1F3864"/>
                <w:sz w:val="22"/>
              </w:rPr>
              <w:t>NFC-e</w:t>
            </w:r>
            <w:proofErr w:type="spellEnd"/>
          </w:p>
        </w:tc>
      </w:tr>
      <w:tr w:rsidR="007F23FB" w14:paraId="582A53F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26750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CT-</w:t>
            </w:r>
            <w:proofErr w:type="gramStart"/>
            <w:r>
              <w:rPr>
                <w:color w:val="1F3864"/>
                <w:sz w:val="22"/>
              </w:rPr>
              <w:t>e</w:t>
            </w:r>
            <w:proofErr w:type="gramEnd"/>
            <w:r>
              <w:rPr>
                <w:color w:val="1F3864"/>
                <w:sz w:val="22"/>
              </w:rPr>
              <w:t xml:space="preserve"> (modelo 57)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22D85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92FC5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Transporte de cargas e demais prestações sujeitas ao CT-e</w:t>
            </w:r>
          </w:p>
        </w:tc>
      </w:tr>
      <w:tr w:rsidR="007F23FB" w14:paraId="6CF0DDA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4C5F5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CT-</w:t>
            </w:r>
            <w:proofErr w:type="gramStart"/>
            <w:r>
              <w:rPr>
                <w:color w:val="1F3864"/>
                <w:sz w:val="22"/>
              </w:rPr>
              <w:t>e</w:t>
            </w:r>
            <w:proofErr w:type="gramEnd"/>
            <w:r>
              <w:rPr>
                <w:color w:val="1F3864"/>
                <w:sz w:val="22"/>
              </w:rPr>
              <w:t xml:space="preserve"> OS (modelo 67)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B38EB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38563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Prestadores de serviços documentados por CT-e OS</w:t>
            </w:r>
          </w:p>
        </w:tc>
      </w:tr>
      <w:tr w:rsidR="007F23FB" w14:paraId="22C7929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48D29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MDF-e (modelo 58)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845F8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1207A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Transportadores e operadores logísticos obrigados ao manifesto eletrônico</w:t>
            </w:r>
          </w:p>
        </w:tc>
      </w:tr>
      <w:tr w:rsidR="007F23FB" w14:paraId="253219D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F22B0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GTV-e (modelo 64)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29B7F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41DA5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Empresas de transporte de valores</w:t>
            </w:r>
          </w:p>
        </w:tc>
      </w:tr>
      <w:tr w:rsidR="007F23FB" w14:paraId="6251769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6DB60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BP-</w:t>
            </w:r>
            <w:proofErr w:type="gramStart"/>
            <w:r>
              <w:rPr>
                <w:color w:val="1F3864"/>
                <w:sz w:val="22"/>
              </w:rPr>
              <w:t>e</w:t>
            </w:r>
            <w:proofErr w:type="gramEnd"/>
            <w:r>
              <w:rPr>
                <w:color w:val="1F3864"/>
                <w:sz w:val="22"/>
              </w:rPr>
              <w:t xml:space="preserve"> (modelo 63)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EAAC2C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BD399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Transporte de passageiros não semiurbano, não metropolitano e não aéreo</w:t>
            </w:r>
          </w:p>
        </w:tc>
      </w:tr>
      <w:tr w:rsidR="007F23FB" w14:paraId="1E389C1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3F48CF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NF3e (modelo 66)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911C1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AE9CF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Fornecimento de energia elétrica ao consumidor</w:t>
            </w:r>
          </w:p>
        </w:tc>
      </w:tr>
      <w:tr w:rsidR="007F23FB" w14:paraId="4F862E4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8FBCA" w14:textId="77777777" w:rsidR="007F23FB" w:rsidRDefault="00000000">
            <w:pPr>
              <w:spacing w:line="252" w:lineRule="auto"/>
            </w:pPr>
            <w:proofErr w:type="spellStart"/>
            <w:r>
              <w:rPr>
                <w:color w:val="1F3864"/>
                <w:sz w:val="22"/>
              </w:rPr>
              <w:t>DC-</w:t>
            </w:r>
            <w:proofErr w:type="gramStart"/>
            <w:r>
              <w:rPr>
                <w:color w:val="1F3864"/>
                <w:sz w:val="22"/>
              </w:rPr>
              <w:t>e</w:t>
            </w:r>
            <w:proofErr w:type="spellEnd"/>
            <w:proofErr w:type="gramEnd"/>
            <w:r>
              <w:rPr>
                <w:color w:val="1F3864"/>
                <w:sz w:val="22"/>
              </w:rPr>
              <w:t xml:space="preserve"> (modelo 99)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7061A1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E30E3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Operações acobertadas por Declaração de Conteúdo eletrônica</w:t>
            </w:r>
          </w:p>
        </w:tc>
      </w:tr>
      <w:tr w:rsidR="007F23FB" w14:paraId="48F463E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B6F3A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NFS-e Via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6FECD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03/08/2026</w:t>
            </w:r>
          </w:p>
        </w:tc>
        <w:tc>
          <w:tcPr>
            <w:tcW w:w="3235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9EC8C" w14:textId="77777777" w:rsidR="007F23FB" w:rsidRDefault="00000000">
            <w:pPr>
              <w:spacing w:line="252" w:lineRule="auto"/>
            </w:pPr>
            <w:r>
              <w:rPr>
                <w:color w:val="1F3864"/>
                <w:sz w:val="22"/>
              </w:rPr>
              <w:t>Exploração de vias, pedágios e atividades correlatas</w:t>
            </w:r>
          </w:p>
        </w:tc>
      </w:tr>
    </w:tbl>
    <w:p w14:paraId="62A90209" w14:textId="77777777" w:rsidR="007F23FB" w:rsidRDefault="007F23FB">
      <w:pPr>
        <w:spacing w:after="160"/>
        <w:jc w:val="both"/>
      </w:pPr>
    </w:p>
    <w:p w14:paraId="08C00CCF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3.2  Das</w:t>
      </w:r>
      <w:proofErr w:type="gramEnd"/>
      <w:r>
        <w:rPr>
          <w:b/>
          <w:sz w:val="26"/>
        </w:rPr>
        <w:t xml:space="preserve"> hipóteses excluídas da primeira etapa</w:t>
      </w:r>
    </w:p>
    <w:p w14:paraId="4AB80623" w14:textId="77777777" w:rsidR="007F23FB" w:rsidRDefault="00000000">
      <w:pPr>
        <w:spacing w:after="160"/>
        <w:jc w:val="both"/>
      </w:pPr>
      <w:r>
        <w:t>A NFS-e de padrão nacional não ingressa de forma ampla em 03/08/2026. Os serviços em geral sujeitos ao ISS, não enquadrados nas hipóteses especiais do inciso III do art. 1º do ato, têm início apenas em 01/10/2026.</w:t>
      </w:r>
    </w:p>
    <w:p w14:paraId="10D05B9D" w14:textId="77777777" w:rsidR="007F23FB" w:rsidRDefault="00000000">
      <w:pPr>
        <w:spacing w:after="160"/>
        <w:jc w:val="both"/>
      </w:pPr>
      <w:r>
        <w:lastRenderedPageBreak/>
        <w:t>Plataformas digitais, determinados subitens da lista da Lei Complementar nº 116/2003, fornecimento de bens imateriais fora da lista, receitas condominiais e locações de bens móveis e imóveis foram deslocados para 01/12/2026. Os optantes pelo Simples Nacional permanecem fora da primeira fase, com obrigatoriedade prevista para 01/01/2027.</w:t>
      </w:r>
    </w:p>
    <w:p w14:paraId="245742EB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3.3  Da</w:t>
      </w:r>
      <w:proofErr w:type="gramEnd"/>
      <w:r>
        <w:rPr>
          <w:b/>
          <w:sz w:val="26"/>
        </w:rPr>
        <w:t xml:space="preserve"> anunciada suspensão das regras de validação</w:t>
      </w:r>
    </w:p>
    <w:p w14:paraId="42AF03A4" w14:textId="77777777" w:rsidR="007F23FB" w:rsidRDefault="00000000">
      <w:pPr>
        <w:spacing w:after="160"/>
        <w:jc w:val="both"/>
      </w:pPr>
      <w:r>
        <w:t xml:space="preserve">A informação mais recente divulgada pela Receita Federal e pelo CGIBS indica que será aprovado Ato Técnico Conjunto para suspender a exigência do preenchimento das informações de CBS e IBS como regra de validação dos documentos fiscais eletrônicos, abrangendo NF-e, </w:t>
      </w:r>
      <w:proofErr w:type="spellStart"/>
      <w:r>
        <w:t>NFC-e</w:t>
      </w:r>
      <w:proofErr w:type="spellEnd"/>
      <w:r>
        <w:t xml:space="preserve">, CT-e, CT-e OS, GTV-e, BP-e, NF3e e </w:t>
      </w:r>
      <w:proofErr w:type="spellStart"/>
      <w:r>
        <w:t>NFCom</w:t>
      </w:r>
      <w:proofErr w:type="spellEnd"/>
      <w:r>
        <w:t>.</w:t>
      </w:r>
    </w:p>
    <w:p w14:paraId="4F2B955A" w14:textId="77777777" w:rsidR="007F23FB" w:rsidRDefault="00000000">
      <w:pPr>
        <w:spacing w:after="160"/>
        <w:jc w:val="both"/>
      </w:pPr>
      <w:r>
        <w:t>Em termos práticos, a ausência dos campos de CBS e IBS não deverá provocar a rejeição automática desses documentos no ambiente autorizador, ainda que o cronograma normativo de implementação continue existindo.</w:t>
      </w:r>
    </w:p>
    <w:p w14:paraId="560D7150" w14:textId="77777777" w:rsidR="007F23FB" w:rsidRDefault="00000000">
      <w:pPr>
        <w:spacing w:after="160"/>
        <w:jc w:val="both"/>
      </w:pPr>
      <w:r>
        <w:t>A distinção é juridicamente relevante: uma coisa é a existência do dever acessório e do cronograma regulatório; outra, diversa, é a aplicação imediata de trava sistêmica de autorização do documento fiscal.</w:t>
      </w:r>
    </w:p>
    <w:p w14:paraId="5CC0FF2D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3.4  Da</w:t>
      </w:r>
      <w:proofErr w:type="gramEnd"/>
      <w:r>
        <w:rPr>
          <w:b/>
          <w:sz w:val="26"/>
        </w:rPr>
        <w:t xml:space="preserve"> interpretação recomendada</w:t>
      </w:r>
    </w:p>
    <w:p w14:paraId="730A3783" w14:textId="77777777" w:rsidR="007F23FB" w:rsidRDefault="00000000">
      <w:pPr>
        <w:spacing w:after="160"/>
        <w:jc w:val="both"/>
      </w:pPr>
      <w:r>
        <w:t>No estado atual das informações públicas, a leitura mais prudente é a de que houve mitigação do efeito operacional da obrigatoriedade, e não revogação do cronograma estabelecido no Ato Conjunto nº 4/2026.</w:t>
      </w:r>
    </w:p>
    <w:p w14:paraId="6A009872" w14:textId="77777777" w:rsidR="007F23FB" w:rsidRDefault="00000000">
      <w:pPr>
        <w:spacing w:after="160"/>
        <w:jc w:val="both"/>
      </w:pPr>
      <w:r>
        <w:t>O contribuinte não deve tratar a flexibilização anunciada como dispensa de adaptação, mas como redução temporária do risco de rejeição automática, até a formalização do ato técnico e a consolidação das novas regras de validação.</w:t>
      </w:r>
    </w:p>
    <w:p w14:paraId="33E530FF" w14:textId="77777777" w:rsidR="007F23FB" w:rsidRDefault="00000000">
      <w:pPr>
        <w:spacing w:after="160"/>
        <w:jc w:val="both"/>
      </w:pPr>
      <w:r>
        <w:t>Permanece recomendável, por isso, manter o projeto de adequação de ERP, cadastros, regras fiscais e parametrizações, especialmente quanto aos documentos já enquadrados no cronograma de 03/08/2026.</w:t>
      </w:r>
    </w:p>
    <w:p w14:paraId="7A956978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3.5  Das</w:t>
      </w:r>
      <w:proofErr w:type="gramEnd"/>
      <w:r>
        <w:rPr>
          <w:b/>
          <w:sz w:val="26"/>
        </w:rPr>
        <w:t xml:space="preserve"> providências práticas</w:t>
      </w:r>
    </w:p>
    <w:p w14:paraId="50FC21B2" w14:textId="77777777" w:rsidR="007F23FB" w:rsidRDefault="00000000">
      <w:pPr>
        <w:spacing w:after="160"/>
        <w:jc w:val="both"/>
      </w:pPr>
      <w:r>
        <w:t>Mesmo com a suspensão anunciada, os contribuintes dos segmentos alcançados devem: (i) mapear os modelos de documento fiscal efetivamente emitidos por estabelecimento e por operação; (</w:t>
      </w:r>
      <w:proofErr w:type="spellStart"/>
      <w:r>
        <w:t>ii</w:t>
      </w:r>
      <w:proofErr w:type="spellEnd"/>
      <w:r>
        <w:t>) identificar se a atividade se insere no grupo de 03/08/2026, 01/10/2026, 01/12/2026 ou 01/01/2027; e (</w:t>
      </w:r>
      <w:proofErr w:type="spellStart"/>
      <w:r>
        <w:t>iii</w:t>
      </w:r>
      <w:proofErr w:type="spellEnd"/>
      <w:r>
        <w:t>) atualizar sistemas emissores, ERP e parametrizações para comportar os grupos de IBS e CBS previstos na documentação técnica.</w:t>
      </w:r>
    </w:p>
    <w:p w14:paraId="73A5824D" w14:textId="77777777" w:rsidR="007F23FB" w:rsidRDefault="00000000">
      <w:pPr>
        <w:spacing w:after="160"/>
        <w:jc w:val="both"/>
      </w:pPr>
      <w:r>
        <w:lastRenderedPageBreak/>
        <w:t>Devem, ainda: (</w:t>
      </w:r>
      <w:proofErr w:type="spellStart"/>
      <w:r>
        <w:t>iv</w:t>
      </w:r>
      <w:proofErr w:type="spellEnd"/>
      <w:r>
        <w:t>) não presumir que a ausência de rejeição equivalha a dispensa definitiva da obrigação acessória; (v) monitorar a publicação do Ato Técnico Conjunto, que definirá formalmente o alcance da suspensão das regras de validação; e (vi) manter governança documental interna, com matriz de enquadramento por documento, operação, regime tributário e cronograma aplicável.</w:t>
      </w:r>
    </w:p>
    <w:p w14:paraId="2F84BF9B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3.6  Dos</w:t>
      </w:r>
      <w:proofErr w:type="gramEnd"/>
      <w:r>
        <w:rPr>
          <w:b/>
          <w:sz w:val="26"/>
        </w:rPr>
        <w:t xml:space="preserve"> impactos por segmento</w:t>
      </w:r>
    </w:p>
    <w:p w14:paraId="12B76BE9" w14:textId="77777777" w:rsidR="007F23FB" w:rsidRDefault="00000000">
      <w:pPr>
        <w:spacing w:after="160"/>
        <w:jc w:val="both"/>
      </w:pPr>
      <w:r>
        <w:t xml:space="preserve">Comércio, indústria e varejo seguem como os segmentos mais atingidos, pois NF-e e </w:t>
      </w:r>
      <w:proofErr w:type="spellStart"/>
      <w:r>
        <w:t>NFC-e</w:t>
      </w:r>
      <w:proofErr w:type="spellEnd"/>
      <w:r>
        <w:t xml:space="preserve"> são os principais documentos alcançados em 03/08/2026. Essas empresas podem deixar de sofrer rejeição automática pela falta de preenchimento dos campos, mas não devem abandonar a preparação técnica para a futura exigência plena.</w:t>
      </w:r>
    </w:p>
    <w:p w14:paraId="21B391E1" w14:textId="77777777" w:rsidR="007F23FB" w:rsidRDefault="00000000">
      <w:pPr>
        <w:spacing w:after="160"/>
        <w:jc w:val="both"/>
      </w:pPr>
      <w:r>
        <w:t>Transportadores, operadores logísticos, empresas de transporte de valores e parte do transporte de passageiros continuam inseridos na primeira etapa por meio de CT-e, CT-e OS, MDF-e, GTV-e e BP-e. Para esse grupo, a flexibilização reduz o risco imediato de paralisação operacional, sem eliminar a necessidade de adequação dos processos de emissão.</w:t>
      </w:r>
    </w:p>
    <w:p w14:paraId="00F01C1D" w14:textId="77777777" w:rsidR="007F23FB" w:rsidRDefault="00000000">
      <w:pPr>
        <w:spacing w:after="160"/>
        <w:jc w:val="both"/>
      </w:pPr>
      <w:r>
        <w:t>No setor de energia, o fornecimento documentado por NF3e permanece no cronograma de 03/08/2026. A ausência dos campos de CBS e IBS, contudo, não deverá impedir a autorização do documento, ao menos até a formalização do novo ato técnico conjunto.</w:t>
      </w:r>
    </w:p>
    <w:p w14:paraId="167340EE" w14:textId="77777777" w:rsidR="007F23FB" w:rsidRDefault="00000000">
      <w:pPr>
        <w:spacing w:before="480" w:after="360"/>
      </w:pPr>
      <w:proofErr w:type="gramStart"/>
      <w:r>
        <w:rPr>
          <w:b/>
          <w:sz w:val="26"/>
        </w:rPr>
        <w:t>4  CONCLUSÃO</w:t>
      </w:r>
      <w:proofErr w:type="gramEnd"/>
    </w:p>
    <w:p w14:paraId="5E8EAD5F" w14:textId="77777777" w:rsidR="007F23FB" w:rsidRDefault="00000000">
      <w:pPr>
        <w:spacing w:after="160"/>
        <w:jc w:val="both"/>
      </w:pPr>
      <w:r>
        <w:t>Ante o exposto, respondem-se as indagações nos seguintes termos:</w:t>
      </w:r>
    </w:p>
    <w:p w14:paraId="229E02B9" w14:textId="77777777" w:rsidR="007F23FB" w:rsidRDefault="00000000">
      <w:pPr>
        <w:spacing w:after="160"/>
        <w:jc w:val="both"/>
      </w:pPr>
      <w:r>
        <w:t xml:space="preserve">(i) sob a leitura estrita do Ato Conjunto RFB/CGIBS nº 4/2026, a obrigatoriedade alcança, a partir de 03/08/2026, os contribuintes do regime regular que emitam NF-e, </w:t>
      </w:r>
      <w:proofErr w:type="spellStart"/>
      <w:r>
        <w:t>NFC-e</w:t>
      </w:r>
      <w:proofErr w:type="spellEnd"/>
      <w:r>
        <w:t xml:space="preserve">, CT-e, CT-e OS, MDF-e, GTV-e, NF3e, </w:t>
      </w:r>
      <w:proofErr w:type="spellStart"/>
      <w:r>
        <w:t>DC-e</w:t>
      </w:r>
      <w:proofErr w:type="spellEnd"/>
      <w:r>
        <w:t>, NFS-e Via e BP-e no transporte de passageiros não semiurbano, não metropolitano e não aéreo;</w:t>
      </w:r>
    </w:p>
    <w:p w14:paraId="22DB2FFA" w14:textId="77777777" w:rsidR="007F23FB" w:rsidRDefault="00000000">
      <w:pPr>
        <w:spacing w:after="160"/>
        <w:jc w:val="both"/>
      </w:pPr>
      <w:r>
        <w:t>(</w:t>
      </w:r>
      <w:proofErr w:type="spellStart"/>
      <w:r>
        <w:t>ii</w:t>
      </w:r>
      <w:proofErr w:type="spellEnd"/>
      <w:r>
        <w:t>) a Receita Federal e o CGIBS anunciaram a aprovação de Ato Técnico Conjunto para suspender a rejeição automática dos documentos fiscais emitidos sem os campos de CBS e IBS, de modo que o risco operacional imediato de bloqueio da emissão foi reduzido;</w:t>
      </w:r>
    </w:p>
    <w:p w14:paraId="4DCC4936" w14:textId="77777777" w:rsidR="007F23FB" w:rsidRDefault="00000000">
      <w:pPr>
        <w:spacing w:after="160"/>
        <w:jc w:val="both"/>
      </w:pPr>
      <w:r>
        <w:t>(</w:t>
      </w:r>
      <w:proofErr w:type="spellStart"/>
      <w:r>
        <w:t>iii</w:t>
      </w:r>
      <w:proofErr w:type="spellEnd"/>
      <w:r>
        <w:t>) o cronograma do Ato Conjunto nº 4/2026 permanece como parâmetro normativo de implantação, e a flexibilização anunciada não equivale a dispensa da obrigação acessória;</w:t>
      </w:r>
    </w:p>
    <w:p w14:paraId="312169B8" w14:textId="77777777" w:rsidR="007F23FB" w:rsidRDefault="00000000">
      <w:pPr>
        <w:spacing w:after="160"/>
        <w:jc w:val="both"/>
      </w:pPr>
      <w:r>
        <w:t>(</w:t>
      </w:r>
      <w:proofErr w:type="spellStart"/>
      <w:r>
        <w:t>iv</w:t>
      </w:r>
      <w:proofErr w:type="spellEnd"/>
      <w:r>
        <w:t>) recomenda-se prosseguir com a implementação, acompanhar a publicação do novo ato técnico e preservar a documentação de diligência e de adequação sistêmica.</w:t>
      </w:r>
    </w:p>
    <w:p w14:paraId="69E18E29" w14:textId="77777777" w:rsidR="007F23FB" w:rsidRDefault="00000000">
      <w:pPr>
        <w:spacing w:after="160"/>
        <w:jc w:val="both"/>
      </w:pPr>
      <w:r>
        <w:lastRenderedPageBreak/>
        <w:t>Ante o exposto, este é o parecer, s.m.j.</w:t>
      </w:r>
    </w:p>
    <w:p w14:paraId="0D179E54" w14:textId="77777777" w:rsidR="007F23FB" w:rsidRDefault="00000000">
      <w:pPr>
        <w:spacing w:before="480"/>
        <w:jc w:val="center"/>
      </w:pPr>
      <w:r>
        <w:t>Piraci Oliveira</w:t>
      </w:r>
    </w:p>
    <w:p w14:paraId="5E21B16A" w14:textId="77777777" w:rsidR="007F23FB" w:rsidRDefault="00000000">
      <w:pPr>
        <w:spacing w:after="240"/>
        <w:jc w:val="center"/>
      </w:pPr>
      <w:r>
        <w:t>OAB/SP 200.270</w:t>
      </w:r>
    </w:p>
    <w:sectPr w:rsidR="007F23FB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902FD5" w14:textId="77777777" w:rsidR="00EC4909" w:rsidRDefault="00EC4909">
      <w:r>
        <w:separator/>
      </w:r>
    </w:p>
  </w:endnote>
  <w:endnote w:type="continuationSeparator" w:id="0">
    <w:p w14:paraId="5277BDB4" w14:textId="77777777" w:rsidR="00EC4909" w:rsidRDefault="00EC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BA3FB" w14:textId="77777777" w:rsidR="007F23FB" w:rsidRDefault="00000000">
    <w:pPr>
      <w:pBdr>
        <w:top w:val="single" w:sz="6" w:space="4" w:color="000000"/>
      </w:pBdr>
      <w:spacing w:before="60"/>
      <w:jc w:val="center"/>
    </w:pPr>
    <w:proofErr w:type="gramStart"/>
    <w:r>
      <w:rPr>
        <w:sz w:val="16"/>
        <w:szCs w:val="16"/>
      </w:rPr>
      <w:t>piraci@piraci.com.br  |</w:t>
    </w:r>
    <w:proofErr w:type="gramEnd"/>
    <w:r>
      <w:rPr>
        <w:sz w:val="16"/>
        <w:szCs w:val="16"/>
      </w:rPr>
      <w:t xml:space="preserve">  </w:t>
    </w:r>
    <w:proofErr w:type="spellStart"/>
    <w:proofErr w:type="gramStart"/>
    <w:r>
      <w:rPr>
        <w:sz w:val="16"/>
        <w:szCs w:val="16"/>
      </w:rPr>
      <w:t>piraciadv.blog</w:t>
    </w:r>
    <w:proofErr w:type="spellEnd"/>
    <w:proofErr w:type="gramEnd"/>
    <w:r>
      <w:rPr>
        <w:sz w:val="16"/>
        <w:szCs w:val="16"/>
      </w:rPr>
      <w:t xml:space="preserve">  </w:t>
    </w:r>
    <w:proofErr w:type="gramStart"/>
    <w:r>
      <w:rPr>
        <w:sz w:val="16"/>
        <w:szCs w:val="16"/>
      </w:rPr>
      <w:t>|  @</w:t>
    </w:r>
    <w:proofErr w:type="gramEnd"/>
    <w:r>
      <w:rPr>
        <w:sz w:val="16"/>
        <w:szCs w:val="16"/>
      </w:rPr>
      <w:t>piracioliveira</w:t>
    </w:r>
  </w:p>
  <w:p w14:paraId="4BCEA9C0" w14:textId="77777777" w:rsidR="007F23FB" w:rsidRDefault="00000000">
    <w:pP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52318A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C1F170" w14:textId="77777777" w:rsidR="00EC4909" w:rsidRDefault="00EC4909">
      <w:r>
        <w:separator/>
      </w:r>
    </w:p>
  </w:footnote>
  <w:footnote w:type="continuationSeparator" w:id="0">
    <w:p w14:paraId="7E66BF44" w14:textId="77777777" w:rsidR="00EC4909" w:rsidRDefault="00EC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222F21" w14:textId="77777777" w:rsidR="007F23FB" w:rsidRDefault="00000000">
    <w:pPr>
      <w:jc w:val="center"/>
    </w:pPr>
    <w:r>
      <w:rPr>
        <w:b/>
        <w:bCs/>
        <w:sz w:val="28"/>
        <w:szCs w:val="28"/>
      </w:rPr>
      <w:t>PIRACI OLIVEIRA</w:t>
    </w:r>
  </w:p>
  <w:p w14:paraId="76770616" w14:textId="77777777" w:rsidR="007F23FB" w:rsidRDefault="00000000">
    <w:pPr>
      <w:pBdr>
        <w:bottom w:val="single" w:sz="6" w:space="4" w:color="000000"/>
      </w:pBdr>
      <w:spacing w:after="60"/>
      <w:jc w:val="center"/>
    </w:pPr>
    <w:r>
      <w:rPr>
        <w:spacing w:val="40"/>
        <w:sz w:val="18"/>
        <w:szCs w:val="18"/>
      </w:rPr>
      <w:t>SOCIEDADE DE ADVOGADOS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960C31"/>
    <w:multiLevelType w:val="hybridMultilevel"/>
    <w:tmpl w:val="D1566B02"/>
    <w:lvl w:ilvl="0" w:tplc="C15A4D8E">
      <w:start w:val="1"/>
      <w:numFmt w:val="bullet"/>
      <w:lvlText w:val="●"/>
      <w:lvlJc w:val="left"/>
      <w:pPr>
        <w:ind w:left="720" w:hanging="360"/>
      </w:pPr>
    </w:lvl>
    <w:lvl w:ilvl="1" w:tplc="B338039A">
      <w:start w:val="1"/>
      <w:numFmt w:val="bullet"/>
      <w:lvlText w:val="○"/>
      <w:lvlJc w:val="left"/>
      <w:pPr>
        <w:ind w:left="1440" w:hanging="360"/>
      </w:pPr>
    </w:lvl>
    <w:lvl w:ilvl="2" w:tplc="A58EAB68">
      <w:start w:val="1"/>
      <w:numFmt w:val="bullet"/>
      <w:lvlText w:val="■"/>
      <w:lvlJc w:val="left"/>
      <w:pPr>
        <w:ind w:left="2160" w:hanging="360"/>
      </w:pPr>
    </w:lvl>
    <w:lvl w:ilvl="3" w:tplc="4A506186">
      <w:start w:val="1"/>
      <w:numFmt w:val="bullet"/>
      <w:lvlText w:val="●"/>
      <w:lvlJc w:val="left"/>
      <w:pPr>
        <w:ind w:left="2880" w:hanging="360"/>
      </w:pPr>
    </w:lvl>
    <w:lvl w:ilvl="4" w:tplc="AD288BBC">
      <w:start w:val="1"/>
      <w:numFmt w:val="bullet"/>
      <w:lvlText w:val="○"/>
      <w:lvlJc w:val="left"/>
      <w:pPr>
        <w:ind w:left="3600" w:hanging="360"/>
      </w:pPr>
    </w:lvl>
    <w:lvl w:ilvl="5" w:tplc="2D4E94F6">
      <w:start w:val="1"/>
      <w:numFmt w:val="bullet"/>
      <w:lvlText w:val="■"/>
      <w:lvlJc w:val="left"/>
      <w:pPr>
        <w:ind w:left="4320" w:hanging="360"/>
      </w:pPr>
    </w:lvl>
    <w:lvl w:ilvl="6" w:tplc="2784566C">
      <w:start w:val="1"/>
      <w:numFmt w:val="bullet"/>
      <w:lvlText w:val="●"/>
      <w:lvlJc w:val="left"/>
      <w:pPr>
        <w:ind w:left="5040" w:hanging="360"/>
      </w:pPr>
    </w:lvl>
    <w:lvl w:ilvl="7" w:tplc="E9DAE02E">
      <w:start w:val="1"/>
      <w:numFmt w:val="bullet"/>
      <w:lvlText w:val="●"/>
      <w:lvlJc w:val="left"/>
      <w:pPr>
        <w:ind w:left="5760" w:hanging="360"/>
      </w:pPr>
    </w:lvl>
    <w:lvl w:ilvl="8" w:tplc="E4D68764">
      <w:start w:val="1"/>
      <w:numFmt w:val="bullet"/>
      <w:lvlText w:val="●"/>
      <w:lvlJc w:val="left"/>
      <w:pPr>
        <w:ind w:left="6480" w:hanging="360"/>
      </w:pPr>
    </w:lvl>
  </w:abstractNum>
  <w:num w:numId="1" w16cid:durableId="10454450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3FB"/>
    <w:rsid w:val="004A0C5D"/>
    <w:rsid w:val="0052318A"/>
    <w:rsid w:val="007F23FB"/>
    <w:rsid w:val="00EC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4D791"/>
  <w15:docId w15:val="{4CA70F75-79C3-5242-866A-C56BF335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="Palatino Linotype" w:hAnsi="Palatino Linotype" w:cs="Palatino Linotype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1209</Words>
  <Characters>6627</Characters>
  <Application>Microsoft Office Word</Application>
  <DocSecurity>0</DocSecurity>
  <Lines>129</Lines>
  <Paragraphs>56</Paragraphs>
  <ScaleCrop>false</ScaleCrop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Piraci Oliveira</cp:lastModifiedBy>
  <cp:revision>2</cp:revision>
  <dcterms:created xsi:type="dcterms:W3CDTF">2026-08-01T20:16:00Z</dcterms:created>
  <dcterms:modified xsi:type="dcterms:W3CDTF">2026-08-01T20:16:00Z</dcterms:modified>
</cp:coreProperties>
</file>