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5F032B" w14:textId="77777777" w:rsidR="001D7B1B" w:rsidRDefault="001D7B1B">
      <w:pPr>
        <w:spacing w:after="360" w:line="276" w:lineRule="auto"/>
        <w:jc w:val="center"/>
        <w:rPr>
          <w:b/>
          <w:sz w:val="28"/>
        </w:rPr>
      </w:pPr>
    </w:p>
    <w:p w14:paraId="0E34FF34" w14:textId="624C93D3" w:rsidR="004D6FD0" w:rsidRDefault="008B5BA9">
      <w:pPr>
        <w:spacing w:after="360" w:line="276" w:lineRule="auto"/>
        <w:jc w:val="center"/>
      </w:pPr>
      <w:r w:rsidRPr="008B5BA9">
        <w:rPr>
          <w:b/>
          <w:sz w:val="28"/>
        </w:rPr>
        <w:t>ESCLARECIMENT</w:t>
      </w:r>
      <w:r w:rsidR="00000000">
        <w:rPr>
          <w:b/>
          <w:sz w:val="28"/>
        </w:rPr>
        <w:t>O – PROGRAMA NACIONAL DE CONFORMIDADE TRIBUTÁRIA (PNCT) – ATO CONJUNTO RFB/CGIBS Nº 5/2026</w:t>
      </w:r>
    </w:p>
    <w:p w14:paraId="222F160E" w14:textId="77777777" w:rsidR="004D6FD0" w:rsidRDefault="00000000">
      <w:pPr>
        <w:spacing w:after="240" w:line="276" w:lineRule="auto"/>
        <w:jc w:val="right"/>
      </w:pPr>
      <w:r>
        <w:t>São Paulo, 13 de agosto de 2026</w:t>
      </w:r>
    </w:p>
    <w:p w14:paraId="411C55B9" w14:textId="0896D140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t>1 CONTEXTO</w:t>
      </w:r>
    </w:p>
    <w:p w14:paraId="77116A27" w14:textId="6A646695" w:rsidR="004D6FD0" w:rsidRDefault="008B5BA9">
      <w:pPr>
        <w:spacing w:after="160" w:line="276" w:lineRule="auto"/>
        <w:jc w:val="both"/>
      </w:pPr>
      <w:r w:rsidRPr="008B5BA9">
        <w:t>O tem</w:t>
      </w:r>
      <w:r w:rsidR="00000000">
        <w:t xml:space="preserve">a decorre da publicação, em 12 de agosto de 2026, do Ato Conjunto RFB/CGIBS nº 5/2026, com fundamento nos </w:t>
      </w:r>
      <w:proofErr w:type="spellStart"/>
      <w:r w:rsidR="00000000">
        <w:t>arts</w:t>
      </w:r>
      <w:proofErr w:type="spellEnd"/>
      <w:r w:rsidR="00000000">
        <w:t>. 471-A a 471-C da Lei Complementar nº 214, de 16 de janeiro de 2025, incluídos pela Lei Complementar nº 227, de 13 de janeiro de 2026. O ato entra em vigor na data de sua publicação.</w:t>
      </w:r>
    </w:p>
    <w:p w14:paraId="72225319" w14:textId="3D6B27E0" w:rsidR="004D6FD0" w:rsidRDefault="00000000">
      <w:pPr>
        <w:spacing w:after="160" w:line="276" w:lineRule="auto"/>
        <w:jc w:val="both"/>
      </w:pPr>
      <w:r>
        <w:t xml:space="preserve">Desde 3 de agosto de 2026, por força do Ato Conjunto RFB/CGIBS nº 4/2026, os principais documentos fiscais eletrônicos passaram a conter o destaque do IBS e da CBS, e é natural que, nessa fase inicial, ocorram erros de preenchimento. O PNCT disciplina o tratamento </w:t>
      </w:r>
      <w:r w:rsidR="008B5BA9" w:rsidRPr="008B5BA9">
        <w:t>d</w:t>
      </w:r>
      <w:r>
        <w:t>o contribuinte nesse período.</w:t>
      </w:r>
    </w:p>
    <w:p w14:paraId="29DAECBB" w14:textId="7658DE18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t>2 ANÁLISE</w:t>
      </w:r>
    </w:p>
    <w:p w14:paraId="4EB88525" w14:textId="6ED2DF89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t xml:space="preserve">2.1 O quadro normativo e </w:t>
      </w:r>
      <w:r w:rsidR="00896F5E">
        <w:rPr>
          <w:b/>
          <w:sz w:val="26"/>
        </w:rPr>
        <w:t>a fase de testes de 2026</w:t>
      </w:r>
    </w:p>
    <w:p w14:paraId="17D8B3A9" w14:textId="76AB00FD" w:rsidR="004D6FD0" w:rsidRDefault="008B5BA9">
      <w:pPr>
        <w:spacing w:after="160" w:line="276" w:lineRule="auto"/>
        <w:jc w:val="both"/>
      </w:pPr>
      <w:r w:rsidRPr="008B5BA9">
        <w:t xml:space="preserve">Em 2026, o PIS e a </w:t>
      </w:r>
      <w:proofErr w:type="spellStart"/>
      <w:r w:rsidRPr="008B5BA9">
        <w:t>Cofins</w:t>
      </w:r>
      <w:proofErr w:type="spellEnd"/>
      <w:r w:rsidRPr="008B5BA9">
        <w:t xml:space="preserve"> permanecem em vigor e continuam a ser apurados</w:t>
      </w:r>
      <w:r w:rsidR="00000000">
        <w:t xml:space="preserve"> normalmente, nos regimes cumulativo e não cumulativo. A CBS, regulamentada pelo Decreto nº 12.955, de 29 de abril de 2026, e o IBS, regulamentado pela Resolução CGIBS nº 6, de 30 de abril de 2026, convivem com aqueles tributos apenas em caráter de teste, com alíquotas de 0,9% e 0,1%, cujo recolhimento é dispensado para quem cumpre as obrigações acessórias, nos termos do art. 348 da Lei Complementar nº 214/2025.</w:t>
      </w:r>
    </w:p>
    <w:p w14:paraId="6F711E5A" w14:textId="7EDE1758" w:rsidR="004D6FD0" w:rsidRDefault="00000000">
      <w:pPr>
        <w:spacing w:after="160" w:line="276" w:lineRule="auto"/>
        <w:jc w:val="both"/>
      </w:pPr>
      <w:r>
        <w:t xml:space="preserve">Em 2026, portanto, a obrigação relevante não é de pagamento, mas de correta emissão dos documentos fiscais com os campos da CBS e do IBS, exigível desde 3 de agosto para a primeira etapa do cronograma. A partir de 2027, o PIS e a </w:t>
      </w:r>
      <w:proofErr w:type="spellStart"/>
      <w:r>
        <w:t>Cofins</w:t>
      </w:r>
      <w:proofErr w:type="spellEnd"/>
      <w:r>
        <w:t xml:space="preserve"> serão extintos e a CBS será exigida em alíquota plena, com os regimes diferenciados </w:t>
      </w:r>
      <w:r w:rsidR="008B5BA9" w:rsidRPr="008B5BA9">
        <w:t>previstos na LC nº 214/2025. O histórico de conformidade de 2026 será a base de ingresso</w:t>
      </w:r>
      <w:r>
        <w:t xml:space="preserve"> no novo sistema.</w:t>
      </w:r>
    </w:p>
    <w:p w14:paraId="61A6593B" w14:textId="3D40BA1A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lastRenderedPageBreak/>
        <w:t>2.2 O enquadramento</w:t>
      </w:r>
      <w:r w:rsidR="00896F5E">
        <w:rPr>
          <w:b/>
          <w:sz w:val="26"/>
        </w:rPr>
        <w:t xml:space="preserve"> no PNCT em 2026</w:t>
      </w:r>
    </w:p>
    <w:p w14:paraId="45BA13E9" w14:textId="476D5E92" w:rsidR="004D6FD0" w:rsidRDefault="00000000">
      <w:pPr>
        <w:spacing w:after="160" w:line="276" w:lineRule="auto"/>
        <w:jc w:val="both"/>
      </w:pPr>
      <w:r>
        <w:t xml:space="preserve">O art. 2º </w:t>
      </w:r>
      <w:r w:rsidR="008B5BA9" w:rsidRPr="008B5BA9">
        <w:t>adota critério simples: está enquadrado no PNCT, ressalvada manifestação em contrário, quem cumprir as obrigações acessórias</w:t>
      </w:r>
      <w:r>
        <w:t xml:space="preserve"> do IBS e da CBS. O enquadramento é automático e </w:t>
      </w:r>
      <w:r w:rsidR="008B5BA9" w:rsidRPr="008B5BA9">
        <w:t>in</w:t>
      </w:r>
      <w:r>
        <w:t>depende de adesão formal.</w:t>
      </w:r>
    </w:p>
    <w:p w14:paraId="0E9AA591" w14:textId="77777777" w:rsidR="004D6FD0" w:rsidRDefault="00000000">
      <w:pPr>
        <w:spacing w:after="160" w:line="276" w:lineRule="auto"/>
        <w:jc w:val="both"/>
      </w:pPr>
      <w:r>
        <w:t>O contribuinte que não cumprir integralmente aquelas obrigações permanece enquadrado se atender, cumulativamente, aos quatro critérios do § 1º do art. 2º:</w:t>
      </w:r>
    </w:p>
    <w:p w14:paraId="5DCE6FEF" w14:textId="77777777" w:rsidR="004D6FD0" w:rsidRDefault="00000000">
      <w:pPr>
        <w:spacing w:after="160" w:line="276" w:lineRule="auto"/>
        <w:ind w:left="1134" w:right="1134"/>
        <w:jc w:val="both"/>
      </w:pPr>
      <w:r>
        <w:rPr>
          <w:i/>
        </w:rPr>
        <w:t xml:space="preserve">I – </w:t>
      </w:r>
      <w:proofErr w:type="gramStart"/>
      <w:r>
        <w:rPr>
          <w:i/>
        </w:rPr>
        <w:t>apresentar</w:t>
      </w:r>
      <w:proofErr w:type="gramEnd"/>
      <w:r>
        <w:rPr>
          <w:i/>
        </w:rPr>
        <w:t xml:space="preserve"> aumento contínuo e progressivo de emissão de documentos fiscais com o correto registro dos campos relativos ao IBS e à CBS; II – atender, tempestivamente, às intimações e comunicações relativas aos documentos fiscais emitidos; III – promover, até 31 de dezembro de 2026, a retificação das inconsistências comunicadas pela administração tributária; e IV – indicar e manter profissional da contabilidade responsável pela conformidade fiscal.</w:t>
      </w:r>
    </w:p>
    <w:p w14:paraId="53A90FDF" w14:textId="17AD29E6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t>2.3 As garantias do</w:t>
      </w:r>
      <w:r w:rsidR="00896F5E">
        <w:rPr>
          <w:b/>
          <w:sz w:val="26"/>
        </w:rPr>
        <w:t xml:space="preserve"> contribuinte enquadrado</w:t>
      </w:r>
    </w:p>
    <w:p w14:paraId="17D2B502" w14:textId="7AED4AC2" w:rsidR="004D6FD0" w:rsidRDefault="00000000">
      <w:pPr>
        <w:spacing w:after="160" w:line="276" w:lineRule="auto"/>
        <w:jc w:val="both"/>
      </w:pPr>
      <w:r>
        <w:t>A utilidade prática do Programa está no § 2º do art. 2º. As intimações e comunicações dirigidas ao contribuinte enquadrado, limitadas às ações de cruzamento de dados ou monitoramento do art. 329 da L</w:t>
      </w:r>
      <w:r w:rsidR="008B5BA9" w:rsidRPr="008B5BA9">
        <w:t>C</w:t>
      </w:r>
      <w:r>
        <w:t xml:space="preserve"> nº 214/2025, não configuram início de procedimento fiscal</w:t>
      </w:r>
      <w:r w:rsidR="008B5BA9" w:rsidRPr="008B5BA9">
        <w:t xml:space="preserve"> (</w:t>
      </w:r>
      <w:r>
        <w:t>art. 328</w:t>
      </w:r>
      <w:r w:rsidR="008B5BA9" w:rsidRPr="008B5BA9">
        <w:t>)</w:t>
      </w:r>
      <w:r>
        <w:t xml:space="preserve"> e não excluem a espontaneidade do sujeito passivo.</w:t>
      </w:r>
    </w:p>
    <w:p w14:paraId="0976BCC9" w14:textId="04206983" w:rsidR="004D6FD0" w:rsidRDefault="00000000">
      <w:pPr>
        <w:spacing w:after="160" w:line="276" w:lineRule="auto"/>
        <w:jc w:val="both"/>
      </w:pPr>
      <w:r>
        <w:t xml:space="preserve">A consequência é relevante: o contribuinte comunicado de uma inconsistência pode retificar seus documentos </w:t>
      </w:r>
      <w:r w:rsidR="008B5BA9" w:rsidRPr="008B5BA9">
        <w:t>sem multa de ofício, em lógica próxima à da denúncia espontânea (art. 138 do CTN)</w:t>
      </w:r>
      <w:r>
        <w:t xml:space="preserve">. </w:t>
      </w:r>
      <w:r w:rsidR="008B5BA9" w:rsidRPr="008B5BA9">
        <w:t>Tampouco afastam o prazo de sessenta dias do art. 348, § 3º, da LC nº 214/2025, para regularização</w:t>
      </w:r>
      <w:r>
        <w:t xml:space="preserve"> sem perda da dispensa de recolhimento das alíquotas-teste.</w:t>
      </w:r>
    </w:p>
    <w:p w14:paraId="2B352132" w14:textId="736F1780" w:rsidR="004D6FD0" w:rsidRDefault="008B5BA9">
      <w:pPr>
        <w:spacing w:after="160" w:line="276" w:lineRule="auto"/>
        <w:jc w:val="both"/>
      </w:pPr>
      <w:r w:rsidRPr="008B5BA9">
        <w:t>Resumimos o regime a seguir</w:t>
      </w:r>
      <w:r w:rsidR="00000000">
        <w:t>:</w:t>
      </w:r>
    </w:p>
    <w:tbl>
      <w:tblPr>
        <w:tblW w:w="0" w:type="auto"/>
        <w:jc w:val="center"/>
        <w:tblBorders>
          <w:top w:val="single" w:sz="6" w:space="0" w:color="1F3B73"/>
          <w:left w:val="single" w:sz="6" w:space="0" w:color="1F3B73"/>
          <w:bottom w:val="single" w:sz="6" w:space="0" w:color="1F3B73"/>
          <w:right w:val="single" w:sz="6" w:space="0" w:color="1F3B73"/>
          <w:insideH w:val="single" w:sz="6" w:space="0" w:color="1F3B73"/>
          <w:insideV w:val="single" w:sz="6" w:space="0" w:color="1F3B7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6111"/>
      </w:tblGrid>
      <w:tr w:rsidR="004D6FD0" w14:paraId="3B725361" w14:textId="77777777">
        <w:trPr>
          <w:jc w:val="center"/>
        </w:trPr>
        <w:tc>
          <w:tcPr>
            <w:tcW w:w="2948" w:type="dxa"/>
          </w:tcPr>
          <w:p w14:paraId="30473B27" w14:textId="77777777" w:rsidR="004D6FD0" w:rsidRDefault="00000000">
            <w:pPr>
              <w:spacing w:before="40" w:after="40"/>
            </w:pPr>
            <w:r>
              <w:rPr>
                <w:b/>
                <w:color w:val="1F3B73"/>
                <w:sz w:val="22"/>
              </w:rPr>
              <w:t>Situação</w:t>
            </w:r>
          </w:p>
        </w:tc>
        <w:tc>
          <w:tcPr>
            <w:tcW w:w="6123" w:type="dxa"/>
          </w:tcPr>
          <w:p w14:paraId="37B525A7" w14:textId="77777777" w:rsidR="004D6FD0" w:rsidRDefault="00000000">
            <w:pPr>
              <w:spacing w:before="40" w:after="40"/>
            </w:pPr>
            <w:r>
              <w:rPr>
                <w:b/>
                <w:color w:val="1F3B73"/>
                <w:sz w:val="22"/>
              </w:rPr>
              <w:t>Tratamento no PNCT em 2026</w:t>
            </w:r>
          </w:p>
        </w:tc>
      </w:tr>
      <w:tr w:rsidR="004D6FD0" w14:paraId="67B03835" w14:textId="77777777">
        <w:trPr>
          <w:jc w:val="center"/>
        </w:trPr>
        <w:tc>
          <w:tcPr>
            <w:tcW w:w="2948" w:type="dxa"/>
          </w:tcPr>
          <w:p w14:paraId="2BF596AB" w14:textId="77777777" w:rsidR="004D6FD0" w:rsidRDefault="00000000">
            <w:pPr>
              <w:spacing w:before="40" w:after="40"/>
            </w:pPr>
            <w:r>
              <w:rPr>
                <w:color w:val="1F3B73"/>
                <w:sz w:val="22"/>
              </w:rPr>
              <w:t>Cumpre as obrigações acessórias do IBS e da CBS</w:t>
            </w:r>
          </w:p>
        </w:tc>
        <w:tc>
          <w:tcPr>
            <w:tcW w:w="6123" w:type="dxa"/>
          </w:tcPr>
          <w:p w14:paraId="07A1DD37" w14:textId="77777777" w:rsidR="004D6FD0" w:rsidRDefault="00000000">
            <w:pPr>
              <w:spacing w:before="40" w:after="40"/>
            </w:pPr>
            <w:r>
              <w:rPr>
                <w:color w:val="1F3B73"/>
                <w:sz w:val="22"/>
              </w:rPr>
              <w:t>Enquadramento automático no Programa, ressalvada manifestação em sentido contrário (art. 2º, caput).</w:t>
            </w:r>
          </w:p>
        </w:tc>
      </w:tr>
      <w:tr w:rsidR="004D6FD0" w14:paraId="51C761E0" w14:textId="77777777">
        <w:trPr>
          <w:jc w:val="center"/>
        </w:trPr>
        <w:tc>
          <w:tcPr>
            <w:tcW w:w="2948" w:type="dxa"/>
          </w:tcPr>
          <w:p w14:paraId="6E69300E" w14:textId="77777777" w:rsidR="004D6FD0" w:rsidRDefault="00000000">
            <w:pPr>
              <w:spacing w:before="40" w:after="40"/>
            </w:pPr>
            <w:r>
              <w:rPr>
                <w:color w:val="1F3B73"/>
                <w:sz w:val="22"/>
              </w:rPr>
              <w:t>Não cumpre integralmente as obrigações acessórias</w:t>
            </w:r>
          </w:p>
        </w:tc>
        <w:tc>
          <w:tcPr>
            <w:tcW w:w="6123" w:type="dxa"/>
          </w:tcPr>
          <w:p w14:paraId="54656B04" w14:textId="77777777" w:rsidR="004D6FD0" w:rsidRDefault="00000000">
            <w:pPr>
              <w:spacing w:before="40" w:after="40"/>
            </w:pPr>
            <w:r>
              <w:rPr>
                <w:color w:val="1F3B73"/>
                <w:sz w:val="22"/>
              </w:rPr>
              <w:t>Permanece enquadrado se atender, cumulativamente, aos quatro critérios do art. 2º, § 1º (emissão crescente e correta, atendimento tempestivo, retificação até 31/12/2026 e contador responsável).</w:t>
            </w:r>
          </w:p>
        </w:tc>
      </w:tr>
      <w:tr w:rsidR="004D6FD0" w14:paraId="2D2E993E" w14:textId="77777777">
        <w:trPr>
          <w:jc w:val="center"/>
        </w:trPr>
        <w:tc>
          <w:tcPr>
            <w:tcW w:w="2948" w:type="dxa"/>
          </w:tcPr>
          <w:p w14:paraId="6902BE04" w14:textId="77777777" w:rsidR="004D6FD0" w:rsidRDefault="00000000">
            <w:pPr>
              <w:spacing w:before="40" w:after="40"/>
            </w:pPr>
            <w:r>
              <w:rPr>
                <w:color w:val="1F3B73"/>
                <w:sz w:val="22"/>
              </w:rPr>
              <w:lastRenderedPageBreak/>
              <w:t>Garantias do contribuinte enquadrado</w:t>
            </w:r>
          </w:p>
        </w:tc>
        <w:tc>
          <w:tcPr>
            <w:tcW w:w="6123" w:type="dxa"/>
          </w:tcPr>
          <w:p w14:paraId="29409205" w14:textId="77777777" w:rsidR="004D6FD0" w:rsidRDefault="00000000">
            <w:pPr>
              <w:spacing w:before="40" w:after="40"/>
            </w:pPr>
            <w:r>
              <w:rPr>
                <w:color w:val="1F3B73"/>
                <w:sz w:val="22"/>
              </w:rPr>
              <w:t>Comunicações de cruzamento de dados e monitoramento não configuram início de procedimento fiscal, preservam a espontaneidade e não afastam o prazo de 60 dias do art. 348, § 3º, da LC nº 214/2025.</w:t>
            </w:r>
          </w:p>
        </w:tc>
      </w:tr>
    </w:tbl>
    <w:p w14:paraId="6FB9A7AD" w14:textId="77777777" w:rsidR="004D6FD0" w:rsidRDefault="004D6FD0">
      <w:pPr>
        <w:spacing w:after="160" w:line="276" w:lineRule="auto"/>
        <w:jc w:val="both"/>
      </w:pPr>
    </w:p>
    <w:p w14:paraId="406294FA" w14:textId="5FA093FC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t>2.4 O profissional</w:t>
      </w:r>
      <w:r w:rsidR="00896F5E">
        <w:rPr>
          <w:b/>
          <w:sz w:val="26"/>
        </w:rPr>
        <w:t xml:space="preserve"> da contabilidade responsável pela conformidade fiscal</w:t>
      </w:r>
    </w:p>
    <w:p w14:paraId="20FA21B3" w14:textId="473E36DF" w:rsidR="004D6FD0" w:rsidRDefault="00000000">
      <w:pPr>
        <w:spacing w:after="160" w:line="276" w:lineRule="auto"/>
        <w:jc w:val="both"/>
      </w:pPr>
      <w:r>
        <w:t xml:space="preserve">O art. 3º cria a figura do profissional da contabilidade responsável pela conformidade fiscal, indicado pelo </w:t>
      </w:r>
      <w:r w:rsidR="008B5BA9" w:rsidRPr="008B5BA9">
        <w:t>contribuinte</w:t>
      </w:r>
      <w:r>
        <w:t xml:space="preserve"> em sistema eletrônico </w:t>
      </w:r>
      <w:r w:rsidR="008B5BA9" w:rsidRPr="008B5BA9">
        <w:t>próprio</w:t>
      </w:r>
      <w:r>
        <w:t>. Mediante autorização expressa e observado o sigilo fiscal, a RFB e o CGIBS poderão dirigir a e</w:t>
      </w:r>
      <w:r w:rsidR="008B5BA9" w:rsidRPr="008B5BA9">
        <w:t>le</w:t>
      </w:r>
      <w:r>
        <w:t xml:space="preserve"> as comunicações sobre inconsistências apuradas nos documentos fiscais.</w:t>
      </w:r>
    </w:p>
    <w:p w14:paraId="36EB9291" w14:textId="009EB6AB" w:rsidR="004D6FD0" w:rsidRDefault="00000000">
      <w:pPr>
        <w:spacing w:after="160" w:line="276" w:lineRule="auto"/>
        <w:jc w:val="both"/>
      </w:pPr>
      <w:r>
        <w:t xml:space="preserve">O contador indicado poderá representar o contribuinte para requerer e acompanhar a </w:t>
      </w:r>
      <w:proofErr w:type="spellStart"/>
      <w:r>
        <w:t>autorregularização</w:t>
      </w:r>
      <w:proofErr w:type="spellEnd"/>
      <w:r>
        <w:t xml:space="preserve">, atender intimações e prestar esclarecimentos, e sua manifestação técnica poderá ser considerada para </w:t>
      </w:r>
      <w:r w:rsidR="008B5BA9" w:rsidRPr="008B5BA9">
        <w:t>o</w:t>
      </w:r>
      <w:r>
        <w:t xml:space="preserve"> enquadramento. A indicação e a manutenção desse profissional </w:t>
      </w:r>
      <w:r w:rsidR="008B5BA9" w:rsidRPr="008B5BA9">
        <w:t>são</w:t>
      </w:r>
      <w:r>
        <w:t xml:space="preserve">, ademais, um dos critérios do art. 2º, </w:t>
      </w:r>
      <w:r w:rsidR="008B5BA9">
        <w:t xml:space="preserve">§ 1º, </w:t>
      </w:r>
      <w:r>
        <w:t xml:space="preserve">o que evidencia o papel central </w:t>
      </w:r>
      <w:r w:rsidR="008B5BA9" w:rsidRPr="008B5BA9">
        <w:t>da</w:t>
      </w:r>
      <w:r>
        <w:t xml:space="preserve"> classe contábil na transição.</w:t>
      </w:r>
    </w:p>
    <w:p w14:paraId="0662838B" w14:textId="614AF587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t>2.5 Avaliação do ato</w:t>
      </w:r>
      <w:r w:rsidR="00896F5E">
        <w:rPr>
          <w:b/>
          <w:sz w:val="26"/>
        </w:rPr>
        <w:t xml:space="preserve"> e providências práticas</w:t>
      </w:r>
    </w:p>
    <w:p w14:paraId="0C5D2E30" w14:textId="67D839A8" w:rsidR="004D6FD0" w:rsidRDefault="00000000">
      <w:pPr>
        <w:spacing w:after="160" w:line="276" w:lineRule="auto"/>
        <w:jc w:val="both"/>
      </w:pPr>
      <w:r>
        <w:t>A</w:t>
      </w:r>
      <w:r w:rsidR="008B5BA9" w:rsidRPr="008B5BA9">
        <w:t xml:space="preserve">valiamos </w:t>
      </w:r>
      <w:r>
        <w:t xml:space="preserve">o ato </w:t>
      </w:r>
      <w:r w:rsidR="008B5BA9" w:rsidRPr="008B5BA9">
        <w:t>positivamente</w:t>
      </w:r>
      <w:r>
        <w:t xml:space="preserve">. Ele dá conteúdo concreto à adaptação assistida </w:t>
      </w:r>
      <w:r w:rsidR="008B5BA9" w:rsidRPr="008B5BA9">
        <w:t>d</w:t>
      </w:r>
      <w:r>
        <w:t xml:space="preserve">os </w:t>
      </w:r>
      <w:proofErr w:type="spellStart"/>
      <w:r>
        <w:t>arts</w:t>
      </w:r>
      <w:proofErr w:type="spellEnd"/>
      <w:r>
        <w:t>. 471-A a 471-C da L</w:t>
      </w:r>
      <w:r w:rsidR="008B5BA9" w:rsidRPr="008B5BA9">
        <w:t>C</w:t>
      </w:r>
      <w:r>
        <w:t xml:space="preserve"> nº 214/2025 e afasta, para o contribuinte diligente, o risco de autuação nesta fase, </w:t>
      </w:r>
      <w:r w:rsidR="008B5BA9" w:rsidRPr="008B5BA9">
        <w:t>em que</w:t>
      </w:r>
      <w:r>
        <w:t xml:space="preserve"> erros de preenchimento são esperados e toleráveis.</w:t>
      </w:r>
    </w:p>
    <w:p w14:paraId="6DC18DE0" w14:textId="6B2689E3" w:rsidR="004D6FD0" w:rsidRDefault="00000000">
      <w:pPr>
        <w:spacing w:after="160" w:line="276" w:lineRule="auto"/>
        <w:jc w:val="both"/>
      </w:pPr>
      <w:r>
        <w:t>Há, contudo, pontos de atenção. A vigência do regramento é restrita ao ano de 2026. A expressão “aumento contínuo e progressivo” de emissão é indeterminada e dependerá da prática administrativa. E as garantias pressupõem co</w:t>
      </w:r>
      <w:r w:rsidR="008B5BA9" w:rsidRPr="008B5BA9">
        <w:t>nduta ativa:</w:t>
      </w:r>
      <w:r>
        <w:t xml:space="preserve"> resposta tempestiva às comunicações e retificação até 31 de dezembro de 2026; a inércia retira o contribuinte do Programa.</w:t>
      </w:r>
    </w:p>
    <w:p w14:paraId="356CAB2F" w14:textId="3CE19111" w:rsidR="004D6FD0" w:rsidRDefault="00000000">
      <w:pPr>
        <w:spacing w:after="160" w:line="276" w:lineRule="auto"/>
        <w:jc w:val="both"/>
      </w:pPr>
      <w:r>
        <w:t>Recomenda</w:t>
      </w:r>
      <w:r w:rsidR="008B5BA9" w:rsidRPr="008B5BA9">
        <w:t>mos</w:t>
      </w:r>
      <w:r>
        <w:t>, desde logo: (i) formalizar a indicação do profissional da contabilidade no sistema eletrônico, com poderes adequados; (</w:t>
      </w:r>
      <w:proofErr w:type="spellStart"/>
      <w:r>
        <w:t>ii</w:t>
      </w:r>
      <w:proofErr w:type="spellEnd"/>
      <w:r>
        <w:t>) monitorar as caixas postais e os canais eletrônicos de comunicação com a RFB e o CGIBS; (</w:t>
      </w:r>
      <w:proofErr w:type="spellStart"/>
      <w:r>
        <w:t>iii</w:t>
      </w:r>
      <w:proofErr w:type="spellEnd"/>
      <w:r>
        <w:t>) documentar a evolução mensal da emissão dos documentos com os campos corretamente preenchidos; e (</w:t>
      </w:r>
      <w:proofErr w:type="spellStart"/>
      <w:r>
        <w:t>iv</w:t>
      </w:r>
      <w:proofErr w:type="spellEnd"/>
      <w:r>
        <w:t>) tratar as inconsistências comunicadas dentro dos prazos, guardando prova do atendimento.</w:t>
      </w:r>
    </w:p>
    <w:p w14:paraId="24EFF7A1" w14:textId="29FAFB28" w:rsidR="004D6FD0" w:rsidRDefault="008B5BA9">
      <w:pPr>
        <w:spacing w:before="480" w:after="360" w:line="276" w:lineRule="auto"/>
      </w:pPr>
      <w:r w:rsidRPr="008B5BA9">
        <w:rPr>
          <w:b/>
          <w:sz w:val="26"/>
        </w:rPr>
        <w:lastRenderedPageBreak/>
        <w:t>3 SÍNTESE CONCLUSIVA</w:t>
      </w:r>
    </w:p>
    <w:p w14:paraId="24FB8EE4" w14:textId="7CBB67DA" w:rsidR="004D6FD0" w:rsidRDefault="008B5BA9">
      <w:pPr>
        <w:spacing w:after="160" w:line="276" w:lineRule="auto"/>
        <w:jc w:val="both"/>
      </w:pPr>
      <w:r w:rsidRPr="008B5BA9">
        <w:t>Do exame fei</w:t>
      </w:r>
      <w:r w:rsidR="00000000">
        <w:t xml:space="preserve">to, </w:t>
      </w:r>
      <w:r w:rsidRPr="008B5BA9">
        <w:t>concluímos o seguinte</w:t>
      </w:r>
      <w:r w:rsidR="00000000">
        <w:t>:</w:t>
      </w:r>
    </w:p>
    <w:p w14:paraId="61A58B88" w14:textId="5DB0682B" w:rsidR="004D6FD0" w:rsidRDefault="00000000">
      <w:pPr>
        <w:spacing w:after="160" w:line="276" w:lineRule="auto"/>
        <w:jc w:val="both"/>
      </w:pPr>
      <w:r>
        <w:t>(i) o Ato Conjunto nº 5/2026 regulamenta, apenas para 2026, o P</w:t>
      </w:r>
      <w:r w:rsidR="008B5BA9" w:rsidRPr="008B5BA9">
        <w:t>NCT</w:t>
      </w:r>
      <w:r>
        <w:t xml:space="preserve">, voltado à adaptação assistida às </w:t>
      </w:r>
      <w:r w:rsidR="008B5BA9">
        <w:t xml:space="preserve">novas </w:t>
      </w:r>
      <w:r>
        <w:t>obrigações de emissão de documentos fiscais;</w:t>
      </w:r>
    </w:p>
    <w:p w14:paraId="26E6BDEB" w14:textId="77777777" w:rsidR="004D6FD0" w:rsidRDefault="00000000">
      <w:pPr>
        <w:spacing w:after="160" w:line="276" w:lineRule="auto"/>
        <w:jc w:val="both"/>
      </w:pPr>
      <w:r>
        <w:t>(</w:t>
      </w:r>
      <w:proofErr w:type="spellStart"/>
      <w:r>
        <w:t>ii</w:t>
      </w:r>
      <w:proofErr w:type="spellEnd"/>
      <w:r>
        <w:t>) o enquadramento é automático para quem cumpre as obrigações acessórias; quem não as cumpre integralmente permanece no Programa se atender aos quatro critérios cumulativos do art. 2º, § 1º, entre eles a retificação das inconsistências até 31 de dezembro de 2026;</w:t>
      </w:r>
    </w:p>
    <w:p w14:paraId="7D10AE38" w14:textId="1E8AF27D" w:rsidR="004D6FD0" w:rsidRDefault="00000000">
      <w:pPr>
        <w:spacing w:after="160" w:line="276" w:lineRule="auto"/>
        <w:jc w:val="both"/>
      </w:pPr>
      <w:r>
        <w:t>(</w:t>
      </w:r>
      <w:proofErr w:type="spellStart"/>
      <w:r>
        <w:t>iii</w:t>
      </w:r>
      <w:proofErr w:type="spellEnd"/>
      <w:r>
        <w:t>) o contribuinte enquadrado conserva a espontaneidade diante das comunicações de cruzamento de dados e monitoramento e mantém o prazo de sessenta dias do art. 348, § 3º, da LC nº 214/2025 para regularização;</w:t>
      </w:r>
    </w:p>
    <w:p w14:paraId="03F88FFC" w14:textId="0B13E770" w:rsidR="004D6FD0" w:rsidRDefault="00000000">
      <w:pPr>
        <w:spacing w:after="160" w:line="276" w:lineRule="auto"/>
        <w:jc w:val="both"/>
      </w:pPr>
      <w:r>
        <w:t>(</w:t>
      </w:r>
      <w:proofErr w:type="spellStart"/>
      <w:r>
        <w:t>iv</w:t>
      </w:r>
      <w:proofErr w:type="spellEnd"/>
      <w:r>
        <w:t xml:space="preserve">) o profissional da contabilidade indicado poderá receber as comunicações do fisco e representar o contribuinte na </w:t>
      </w:r>
      <w:proofErr w:type="spellStart"/>
      <w:r>
        <w:t>autorregularização</w:t>
      </w:r>
      <w:proofErr w:type="spellEnd"/>
      <w:r>
        <w:t>, sendo sua indicação providência imediata;</w:t>
      </w:r>
    </w:p>
    <w:p w14:paraId="71B870C3" w14:textId="29FA02FE" w:rsidR="004D6FD0" w:rsidRDefault="00000000">
      <w:pPr>
        <w:spacing w:after="160" w:line="276" w:lineRule="auto"/>
        <w:jc w:val="both"/>
      </w:pPr>
      <w:r>
        <w:t>(v) o contribuinte deve monitorar os canais eletrônicos e comprovar a evolução da correta emissão, pois as garantias dependem de conduta ativa e tempestiva.</w:t>
      </w:r>
    </w:p>
    <w:p w14:paraId="4BCAEE36" w14:textId="46E2B2B4" w:rsidR="004D6FD0" w:rsidRDefault="008B5BA9">
      <w:pPr>
        <w:spacing w:after="160" w:line="276" w:lineRule="auto"/>
        <w:jc w:val="both"/>
      </w:pPr>
      <w:r w:rsidRPr="008B5BA9">
        <w:t>Permanecemos à disposição para os esclarecimentos que se fizerem necessário</w:t>
      </w:r>
      <w:r w:rsidR="00000000">
        <w:t>s.</w:t>
      </w:r>
    </w:p>
    <w:p w14:paraId="432173BF" w14:textId="77777777" w:rsidR="004D6FD0" w:rsidRDefault="00000000">
      <w:pPr>
        <w:spacing w:before="480" w:line="276" w:lineRule="auto"/>
        <w:jc w:val="center"/>
      </w:pPr>
      <w:r>
        <w:t>Piraci Oliveira</w:t>
      </w:r>
    </w:p>
    <w:p w14:paraId="75622FF7" w14:textId="77777777" w:rsidR="004D6FD0" w:rsidRDefault="00000000">
      <w:pPr>
        <w:spacing w:after="240" w:line="276" w:lineRule="auto"/>
        <w:jc w:val="center"/>
      </w:pPr>
      <w:r>
        <w:t>OAB/SP 200.270</w:t>
      </w:r>
    </w:p>
    <w:p w14:paraId="5BEE06C1" w14:textId="6924D55F" w:rsidR="004D6FD0" w:rsidRDefault="004D6FD0">
      <w:pPr>
        <w:spacing w:after="160" w:line="276" w:lineRule="auto"/>
        <w:jc w:val="both"/>
      </w:pPr>
    </w:p>
    <w:sectPr w:rsidR="004D6F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9A9BAF" w14:textId="77777777" w:rsidR="00BF1E85" w:rsidRDefault="00BF1E85">
      <w:r>
        <w:separator/>
      </w:r>
    </w:p>
  </w:endnote>
  <w:endnote w:type="continuationSeparator" w:id="0">
    <w:p w14:paraId="25ABC86F" w14:textId="77777777" w:rsidR="00BF1E85" w:rsidRDefault="00BF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142E6A" w14:textId="77777777" w:rsidR="008B5BA9" w:rsidRDefault="008B5BA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DF4943" w14:textId="77777777" w:rsidR="004D6FD0" w:rsidRDefault="00000000">
    <w:pPr>
      <w:pBdr>
        <w:top w:val="single" w:sz="6" w:space="4" w:color="000000"/>
      </w:pBdr>
      <w:spacing w:before="60"/>
      <w:jc w:val="center"/>
    </w:pPr>
    <w:proofErr w:type="gramStart"/>
    <w:r>
      <w:rPr>
        <w:sz w:val="16"/>
        <w:szCs w:val="16"/>
      </w:rPr>
      <w:t>piraci@piraci.com.br  |</w:t>
    </w:r>
    <w:proofErr w:type="gramEnd"/>
    <w:r>
      <w:rPr>
        <w:sz w:val="16"/>
        <w:szCs w:val="16"/>
      </w:rPr>
      <w:t xml:space="preserve">  </w:t>
    </w:r>
    <w:proofErr w:type="spellStart"/>
    <w:proofErr w:type="gramStart"/>
    <w:r>
      <w:rPr>
        <w:sz w:val="16"/>
        <w:szCs w:val="16"/>
      </w:rPr>
      <w:t>piraciadv.blog</w:t>
    </w:r>
    <w:proofErr w:type="spellEnd"/>
    <w:proofErr w:type="gramEnd"/>
    <w:r>
      <w:rPr>
        <w:sz w:val="16"/>
        <w:szCs w:val="16"/>
      </w:rPr>
      <w:t xml:space="preserve">  </w:t>
    </w:r>
    <w:proofErr w:type="gramStart"/>
    <w:r>
      <w:rPr>
        <w:sz w:val="16"/>
        <w:szCs w:val="16"/>
      </w:rPr>
      <w:t>|  @</w:t>
    </w:r>
    <w:proofErr w:type="gramEnd"/>
    <w:r>
      <w:rPr>
        <w:sz w:val="16"/>
        <w:szCs w:val="16"/>
      </w:rPr>
      <w:t>piracioliveira</w:t>
    </w:r>
  </w:p>
  <w:p w14:paraId="520A6A4D" w14:textId="77777777" w:rsidR="004D6FD0" w:rsidRDefault="00000000">
    <w:pP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896F5E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D1C615" w14:textId="77777777" w:rsidR="008B5BA9" w:rsidRDefault="008B5B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BB5A62" w14:textId="77777777" w:rsidR="00BF1E85" w:rsidRDefault="00BF1E85">
      <w:r>
        <w:separator/>
      </w:r>
    </w:p>
  </w:footnote>
  <w:footnote w:type="continuationSeparator" w:id="0">
    <w:p w14:paraId="449F4DAB" w14:textId="77777777" w:rsidR="00BF1E85" w:rsidRDefault="00BF1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C95B07" w14:textId="77777777" w:rsidR="008B5BA9" w:rsidRDefault="008B5BA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63DA65" w14:textId="77777777" w:rsidR="004D6FD0" w:rsidRDefault="00000000">
    <w:pPr>
      <w:jc w:val="center"/>
    </w:pPr>
    <w:r>
      <w:rPr>
        <w:b/>
        <w:bCs/>
        <w:sz w:val="28"/>
        <w:szCs w:val="28"/>
      </w:rPr>
      <w:t>PIRACI OLIVEIRA</w:t>
    </w:r>
  </w:p>
  <w:p w14:paraId="70BE4E5F" w14:textId="77777777" w:rsidR="004D6FD0" w:rsidRDefault="00000000">
    <w:pPr>
      <w:pBdr>
        <w:bottom w:val="single" w:sz="6" w:space="4" w:color="000000"/>
      </w:pBdr>
      <w:spacing w:after="60"/>
      <w:jc w:val="center"/>
    </w:pPr>
    <w:r>
      <w:rPr>
        <w:spacing w:val="40"/>
        <w:sz w:val="18"/>
        <w:szCs w:val="18"/>
      </w:rPr>
      <w:t>SOCIEDADE DE ADVOGADOS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BF37D3" w14:textId="77777777" w:rsidR="008B5BA9" w:rsidRDefault="008B5B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C80433"/>
    <w:multiLevelType w:val="hybridMultilevel"/>
    <w:tmpl w:val="7E064314"/>
    <w:lvl w:ilvl="0" w:tplc="A5122472">
      <w:start w:val="1"/>
      <w:numFmt w:val="bullet"/>
      <w:lvlText w:val="●"/>
      <w:lvlJc w:val="left"/>
      <w:pPr>
        <w:ind w:left="720" w:hanging="360"/>
      </w:pPr>
    </w:lvl>
    <w:lvl w:ilvl="1" w:tplc="A8FEB278">
      <w:start w:val="1"/>
      <w:numFmt w:val="bullet"/>
      <w:lvlText w:val="○"/>
      <w:lvlJc w:val="left"/>
      <w:pPr>
        <w:ind w:left="1440" w:hanging="360"/>
      </w:pPr>
    </w:lvl>
    <w:lvl w:ilvl="2" w:tplc="15408A70">
      <w:start w:val="1"/>
      <w:numFmt w:val="bullet"/>
      <w:lvlText w:val="■"/>
      <w:lvlJc w:val="left"/>
      <w:pPr>
        <w:ind w:left="2160" w:hanging="360"/>
      </w:pPr>
    </w:lvl>
    <w:lvl w:ilvl="3" w:tplc="56600D00">
      <w:start w:val="1"/>
      <w:numFmt w:val="bullet"/>
      <w:lvlText w:val="●"/>
      <w:lvlJc w:val="left"/>
      <w:pPr>
        <w:ind w:left="2880" w:hanging="360"/>
      </w:pPr>
    </w:lvl>
    <w:lvl w:ilvl="4" w:tplc="228EE6DA">
      <w:start w:val="1"/>
      <w:numFmt w:val="bullet"/>
      <w:lvlText w:val="○"/>
      <w:lvlJc w:val="left"/>
      <w:pPr>
        <w:ind w:left="3600" w:hanging="360"/>
      </w:pPr>
    </w:lvl>
    <w:lvl w:ilvl="5" w:tplc="E1B6B66C">
      <w:start w:val="1"/>
      <w:numFmt w:val="bullet"/>
      <w:lvlText w:val="■"/>
      <w:lvlJc w:val="left"/>
      <w:pPr>
        <w:ind w:left="4320" w:hanging="360"/>
      </w:pPr>
    </w:lvl>
    <w:lvl w:ilvl="6" w:tplc="CDBC5918">
      <w:start w:val="1"/>
      <w:numFmt w:val="bullet"/>
      <w:lvlText w:val="●"/>
      <w:lvlJc w:val="left"/>
      <w:pPr>
        <w:ind w:left="5040" w:hanging="360"/>
      </w:pPr>
    </w:lvl>
    <w:lvl w:ilvl="7" w:tplc="7AA6A1A0">
      <w:start w:val="1"/>
      <w:numFmt w:val="bullet"/>
      <w:lvlText w:val="●"/>
      <w:lvlJc w:val="left"/>
      <w:pPr>
        <w:ind w:left="5760" w:hanging="360"/>
      </w:pPr>
    </w:lvl>
    <w:lvl w:ilvl="8" w:tplc="15D857B0">
      <w:start w:val="1"/>
      <w:numFmt w:val="bullet"/>
      <w:lvlText w:val="●"/>
      <w:lvlJc w:val="left"/>
      <w:pPr>
        <w:ind w:left="6480" w:hanging="360"/>
      </w:pPr>
    </w:lvl>
  </w:abstractNum>
  <w:num w:numId="1" w16cid:durableId="18285961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D0"/>
    <w:rsid w:val="001D7B1B"/>
    <w:rsid w:val="00254BB3"/>
    <w:rsid w:val="003913A3"/>
    <w:rsid w:val="003A0221"/>
    <w:rsid w:val="004D6FD0"/>
    <w:rsid w:val="005E2A28"/>
    <w:rsid w:val="00896F5E"/>
    <w:rsid w:val="008B5BA9"/>
    <w:rsid w:val="00B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24DCA"/>
  <w15:docId w15:val="{3394F789-1CF3-7F4D-917B-212A8138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alatino Linotype" w:eastAsia="Palatino Linotype" w:hAnsi="Palatino Linotype" w:cs="Palatino Linotype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B5B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5BA9"/>
  </w:style>
  <w:style w:type="paragraph" w:styleId="Rodap">
    <w:name w:val="footer"/>
    <w:basedOn w:val="Normal"/>
    <w:link w:val="RodapChar"/>
    <w:uiPriority w:val="99"/>
    <w:unhideWhenUsed/>
    <w:rsid w:val="008B5B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5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C454F5E-FD3B-2B4D-8369-2DB1FDE5A438}">
  <we:reference id="wa200010453" version="1.0.0.1" store="pt-BR" storeType="OMEX"/>
  <we:alternateReferences>
    <we:reference id="wa200010453" version="1.0.0.1" store="pt-BR" storeType="OMEX"/>
  </we:alternateReferences>
  <we:properties>
    <we:property name="claude.fileId" value="&quot;92f5797e-f933-43c1-9745-59e7996580ef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1093</Words>
  <Characters>5881</Characters>
  <Application>Microsoft Office Word</Application>
  <DocSecurity>0</DocSecurity>
  <Lines>115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Piraci Oliveira</cp:lastModifiedBy>
  <cp:revision>6</cp:revision>
  <dcterms:created xsi:type="dcterms:W3CDTF">2026-08-13T13:50:00Z</dcterms:created>
  <dcterms:modified xsi:type="dcterms:W3CDTF">2026-08-13T14:27:00Z</dcterms:modified>
</cp:coreProperties>
</file>