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B4FBD8" w14:textId="77777777" w:rsidR="00850625" w:rsidRDefault="00000000">
      <w:pPr>
        <w:spacing w:after="60" w:line="360" w:lineRule="auto"/>
        <w:jc w:val="right"/>
      </w:pPr>
      <w:r>
        <w:t>São Paulo, 5 de setembro de 2026</w:t>
      </w:r>
    </w:p>
    <w:p w14:paraId="7C2E6655" w14:textId="77777777" w:rsidR="00850625" w:rsidRDefault="00850625">
      <w:pPr>
        <w:spacing w:after="120"/>
      </w:pPr>
    </w:p>
    <w:p w14:paraId="1B18B50E" w14:textId="77777777" w:rsidR="00850625" w:rsidRDefault="00000000">
      <w:pPr>
        <w:spacing w:before="240" w:after="120" w:line="360" w:lineRule="auto"/>
        <w:jc w:val="center"/>
      </w:pPr>
      <w:r>
        <w:rPr>
          <w:b/>
          <w:bCs/>
          <w:sz w:val="26"/>
          <w:szCs w:val="26"/>
        </w:rPr>
        <w:t>PARECER</w:t>
      </w:r>
    </w:p>
    <w:p w14:paraId="1DE69C66" w14:textId="77777777" w:rsidR="00850625" w:rsidRDefault="00000000">
      <w:pPr>
        <w:spacing w:after="360" w:line="360" w:lineRule="auto"/>
        <w:jc w:val="center"/>
      </w:pPr>
      <w:r>
        <w:rPr>
          <w:b/>
          <w:bCs/>
        </w:rPr>
        <w:t xml:space="preserve">Apropriação de créditos da CBS com base no documento fiscal antes da implementação do split </w:t>
      </w:r>
      <w:proofErr w:type="spellStart"/>
      <w:r>
        <w:rPr>
          <w:b/>
          <w:bCs/>
        </w:rPr>
        <w:t>payment</w:t>
      </w:r>
      <w:proofErr w:type="spellEnd"/>
      <w:r>
        <w:rPr>
          <w:b/>
          <w:bCs/>
        </w:rPr>
        <w:t xml:space="preserve"> e do recolhimento pelo adquirente</w:t>
      </w:r>
    </w:p>
    <w:p w14:paraId="6FE2DC11" w14:textId="77777777" w:rsidR="00DA357A" w:rsidRPr="00DA357A" w:rsidRDefault="00DA357A" w:rsidP="00DA357A">
      <w:pPr>
        <w:keepNext/>
        <w:spacing w:before="480" w:after="360" w:line="360" w:lineRule="auto"/>
        <w:jc w:val="center"/>
        <w:rPr>
          <w:sz w:val="22"/>
          <w:szCs w:val="22"/>
        </w:rPr>
      </w:pPr>
      <w:r w:rsidRPr="00DA357A">
        <w:rPr>
          <w:b/>
          <w:bCs/>
          <w:sz w:val="26"/>
          <w:szCs w:val="26"/>
        </w:rPr>
        <w:t xml:space="preserve">EMENTA: </w:t>
      </w:r>
      <w:r w:rsidRPr="00DA357A">
        <w:rPr>
          <w:sz w:val="22"/>
          <w:szCs w:val="22"/>
        </w:rPr>
        <w:t xml:space="preserve">CBS. Regime de créditos. Art. 47 da LC 214/2025. Crédito do adquirente condicionado à extinção do débito do fornecedor. Dispensa transitória do art. 48 enquanto não implementados o split </w:t>
      </w:r>
      <w:proofErr w:type="spellStart"/>
      <w:r w:rsidRPr="00DA357A">
        <w:rPr>
          <w:sz w:val="22"/>
          <w:szCs w:val="22"/>
        </w:rPr>
        <w:t>payment</w:t>
      </w:r>
      <w:proofErr w:type="spellEnd"/>
      <w:r w:rsidRPr="00DA357A">
        <w:rPr>
          <w:sz w:val="22"/>
          <w:szCs w:val="22"/>
        </w:rPr>
        <w:t xml:space="preserve"> (</w:t>
      </w:r>
      <w:proofErr w:type="spellStart"/>
      <w:r w:rsidRPr="00DA357A">
        <w:rPr>
          <w:sz w:val="22"/>
          <w:szCs w:val="22"/>
        </w:rPr>
        <w:t>arts</w:t>
      </w:r>
      <w:proofErr w:type="spellEnd"/>
      <w:r w:rsidRPr="00DA357A">
        <w:rPr>
          <w:sz w:val="22"/>
          <w:szCs w:val="22"/>
        </w:rPr>
        <w:t>. 31 e 32) e o recolhimento pelo adquirente – RAD (art. 36). Apropriação com base exclusivamente no destaque correto em documento fiscal eletrônico idôneo. Possibilidade. Implementação isolada do RAD apta a encerrar a dispensa. Interpretação conforme o art. 156-A, § 5º, II, da Constituição. Recomendações de rotina de validação do destaque e de monitoramento dos atos de implantação.</w:t>
      </w:r>
    </w:p>
    <w:p w14:paraId="330AC561" w14:textId="6D217754" w:rsidR="00850625" w:rsidRDefault="00DA357A">
      <w:pPr>
        <w:keepNext/>
        <w:spacing w:before="480" w:after="360" w:line="360" w:lineRule="auto"/>
      </w:pPr>
      <w:r w:rsidRPr="00DA357A">
        <w:rPr>
          <w:b/>
          <w:bCs/>
          <w:sz w:val="26"/>
          <w:szCs w:val="26"/>
        </w:rPr>
        <w:t>I – DA CONSULTA</w:t>
      </w:r>
    </w:p>
    <w:p w14:paraId="3F42E94A" w14:textId="77777777" w:rsidR="00850625" w:rsidRDefault="00000000">
      <w:pPr>
        <w:spacing w:after="60" w:line="360" w:lineRule="auto"/>
        <w:ind w:firstLine="709"/>
        <w:jc w:val="both"/>
      </w:pPr>
      <w:r>
        <w:t xml:space="preserve">Fomos consultados sobre duas questões ligadas ao regime de créditos da CBS a partir de 2027. A primeira: enquanto o split </w:t>
      </w:r>
      <w:proofErr w:type="spellStart"/>
      <w:r>
        <w:t>payment</w:t>
      </w:r>
      <w:proofErr w:type="spellEnd"/>
      <w:r>
        <w:t xml:space="preserve"> não estiver em funcionamento, o adquirente pode apropriar o crédito da CBS apenas com base no documento fiscal, sem prova de que o fornecedor liquidou o tributo? A segunda: o mesmo raciocínio se aplica ao recolhimento pelo adquirente, o chamado RAD, previsto no art. 36 da LC 214/2025?</w:t>
      </w:r>
    </w:p>
    <w:p w14:paraId="04FC8790" w14:textId="77777777" w:rsidR="00850625" w:rsidRDefault="00000000">
      <w:pPr>
        <w:spacing w:after="60" w:line="360" w:lineRule="auto"/>
        <w:ind w:firstLine="709"/>
        <w:jc w:val="both"/>
      </w:pPr>
      <w:r>
        <w:t>Analisamos a LC 214/2025, com as alterações da LC 227/2026, o Decreto 12.955/2026, que regulamenta a CBS, e a Resolução CGIBS 6/2026, que regulamenta o IBS. O foco do estudo é a CBS. As referências ao IBS aparecem apenas quando a regra é comum aos dois tributos.</w:t>
      </w:r>
    </w:p>
    <w:p w14:paraId="66E96452" w14:textId="6A798276" w:rsidR="00850625" w:rsidRDefault="00000000">
      <w:pPr>
        <w:spacing w:after="60" w:line="360" w:lineRule="auto"/>
        <w:ind w:firstLine="709"/>
        <w:jc w:val="both"/>
      </w:pPr>
      <w:r>
        <w:lastRenderedPageBreak/>
        <w:t xml:space="preserve">Antecipamos a resposta: sim, para as duas perguntas, com a reserva que detalhamos no item </w:t>
      </w:r>
      <w:r w:rsidR="00DA357A" w:rsidRPr="00DA357A">
        <w:t>II.</w:t>
      </w:r>
      <w:r w:rsidR="00FE3A7A" w:rsidRPr="00FE3A7A">
        <w:t>5</w:t>
      </w:r>
      <w:r>
        <w:t>. A base é o art. 48 da LC 214/2025, que dispensa a exigência de extinção do débito enquanto nenhuma das duas modalidades estiver implementada. O ponto sensível está em definir o que significa "implementada", e é nesse ponto que concentramos as recomendações.</w:t>
      </w:r>
    </w:p>
    <w:p w14:paraId="7DF577A0" w14:textId="77777777" w:rsidR="00DA357A" w:rsidRPr="00DA357A" w:rsidRDefault="00DA357A">
      <w:pPr>
        <w:keepNext/>
        <w:spacing w:before="480" w:after="360" w:line="360" w:lineRule="auto"/>
        <w:rPr>
          <w:b/>
          <w:bCs/>
          <w:sz w:val="26"/>
          <w:szCs w:val="26"/>
        </w:rPr>
      </w:pPr>
      <w:r w:rsidRPr="00DA357A">
        <w:rPr>
          <w:b/>
          <w:bCs/>
          <w:sz w:val="26"/>
          <w:szCs w:val="26"/>
        </w:rPr>
        <w:t>II – DA FUNDAMENTAÇÃO</w:t>
      </w:r>
    </w:p>
    <w:p w14:paraId="38EF1A1F" w14:textId="2963689C" w:rsidR="00850625" w:rsidRDefault="0074669E">
      <w:pPr>
        <w:keepNext/>
        <w:spacing w:before="480" w:after="360" w:line="360" w:lineRule="auto"/>
      </w:pPr>
      <w:r w:rsidRPr="0074669E">
        <w:rPr>
          <w:b/>
          <w:bCs/>
          <w:sz w:val="26"/>
          <w:szCs w:val="26"/>
        </w:rPr>
        <w:t>II.1. O tratamento em 2027 e 2028</w:t>
      </w:r>
    </w:p>
    <w:p w14:paraId="47C9E21D" w14:textId="77777777" w:rsidR="00850625" w:rsidRDefault="00000000">
      <w:pPr>
        <w:spacing w:after="60" w:line="360" w:lineRule="auto"/>
        <w:ind w:firstLine="709"/>
        <w:jc w:val="both"/>
      </w:pPr>
      <w:r>
        <w:t xml:space="preserve">A partir de 1º de janeiro de 2027 a CBS passa a ser exigida com a alíquota cheia, e o PIS e a COFINS são extintos. O IBS permanece em fase de teste, com alíquota de 0,1% dividida entre estado e município, até 2028. O regime de créditos dos </w:t>
      </w:r>
      <w:proofErr w:type="spellStart"/>
      <w:r>
        <w:t>arts</w:t>
      </w:r>
      <w:proofErr w:type="spellEnd"/>
      <w:r>
        <w:t>. 47 a 56 passa a operar de fato em 2027, e com ele a discussão sobre a condição de extinção do débito.</w:t>
      </w:r>
    </w:p>
    <w:p w14:paraId="26F45DFC" w14:textId="1519C706" w:rsidR="00850625" w:rsidRDefault="00000000">
      <w:pPr>
        <w:spacing w:after="60" w:line="360" w:lineRule="auto"/>
        <w:ind w:firstLine="709"/>
        <w:jc w:val="both"/>
      </w:pPr>
      <w:r>
        <w:t>As reduções dos regimes diferenciados (60%, 30% e 100%) aplicam-se desde 2026 sobre as alíquotas de teste e, em 2027, sobre a alíquota cheia. Elas não afetam o crédito do adquirente, salvo previsão expressa (art. 47, § 10).</w:t>
      </w:r>
    </w:p>
    <w:p w14:paraId="7FB3061E" w14:textId="77777777" w:rsidR="00850625" w:rsidRDefault="00850625">
      <w:pPr>
        <w:spacing w:after="120"/>
      </w:pPr>
    </w:p>
    <w:p w14:paraId="11FE96A0" w14:textId="0B85361D" w:rsidR="00850625" w:rsidRDefault="0074669E">
      <w:pPr>
        <w:keepNext/>
        <w:spacing w:before="480" w:after="360" w:line="360" w:lineRule="auto"/>
      </w:pPr>
      <w:r w:rsidRPr="0074669E">
        <w:rPr>
          <w:b/>
          <w:bCs/>
          <w:sz w:val="26"/>
          <w:szCs w:val="26"/>
        </w:rPr>
        <w:t>II.2. A regra geral</w:t>
      </w:r>
      <w:r w:rsidR="00DA357A" w:rsidRPr="00DA357A">
        <w:rPr>
          <w:b/>
          <w:bCs/>
          <w:sz w:val="26"/>
          <w:szCs w:val="26"/>
        </w:rPr>
        <w:t>: crédito condicionado à extinção do débito</w:t>
      </w:r>
    </w:p>
    <w:p w14:paraId="6EE536FD" w14:textId="77777777" w:rsidR="00850625" w:rsidRDefault="00000000">
      <w:pPr>
        <w:spacing w:after="60" w:line="360" w:lineRule="auto"/>
        <w:ind w:firstLine="709"/>
        <w:jc w:val="both"/>
      </w:pPr>
      <w:r>
        <w:t>O art. 47 da LC 214/2025 vincula o crédito do adquirente à extinção do débito do fornecedor. Não basta a operação e o documento; é preciso que o tributo destacado tenha sido extinto por uma das modalidades do art. 27. O Decreto 12.955/2026 reproduz a regra no art. 47, com remissão ao art. 26 do regulamento.</w:t>
      </w:r>
    </w:p>
    <w:p w14:paraId="6A7B70F5" w14:textId="77777777" w:rsidR="00850625" w:rsidRDefault="00000000">
      <w:pPr>
        <w:spacing w:after="120" w:line="276" w:lineRule="auto"/>
        <w:ind w:left="1134" w:right="1134"/>
        <w:jc w:val="both"/>
      </w:pPr>
      <w:r>
        <w:rPr>
          <w:i/>
          <w:iCs/>
        </w:rPr>
        <w:t xml:space="preserve">Art. 47. O contribuinte sujeito ao regime regular poderá apropriar créditos do IBS e da CBS quando ocorrer a extinção por </w:t>
      </w:r>
      <w:r>
        <w:rPr>
          <w:i/>
          <w:iCs/>
        </w:rPr>
        <w:lastRenderedPageBreak/>
        <w:t>qualquer das modalidades previstas no art. 27 dos débitos relativos às operações em que seja adquirente [...]. § 2º Os valores dos créditos do IBS e da CBS apropriados corresponderão: I - aos valores dos débitos, respectivamente, do IBS e da CBS que tenham sido destacados no documento fiscal de aquisição e extintos por qualquer das modalidades previstas no art. 27.</w:t>
      </w:r>
    </w:p>
    <w:p w14:paraId="1CA95A2C" w14:textId="77777777" w:rsidR="00850625" w:rsidRDefault="00000000">
      <w:pPr>
        <w:spacing w:after="60" w:line="360" w:lineRule="auto"/>
        <w:ind w:firstLine="709"/>
        <w:jc w:val="both"/>
      </w:pPr>
      <w:r>
        <w:t xml:space="preserve">As modalidades do art. 27 são cinco: compensação com créditos do próprio fornecedor, pagamento pelo fornecedor, split </w:t>
      </w:r>
      <w:proofErr w:type="spellStart"/>
      <w:r>
        <w:t>payment</w:t>
      </w:r>
      <w:proofErr w:type="spellEnd"/>
      <w:r>
        <w:t>, recolhimento pelo adquirente e pagamento pelo responsável. Nas duas primeiras a extinção é imputada por ordem cronológica dos documentos do período (art. 27, parágrafo único, I). No split e no RAD a extinção fica vinculada à operação específica (inciso II).</w:t>
      </w:r>
    </w:p>
    <w:p w14:paraId="27F5046E" w14:textId="77777777" w:rsidR="00850625" w:rsidRDefault="00000000">
      <w:pPr>
        <w:spacing w:after="60" w:line="360" w:lineRule="auto"/>
        <w:ind w:firstLine="709"/>
        <w:jc w:val="both"/>
      </w:pPr>
      <w:r>
        <w:t xml:space="preserve">A regra tem </w:t>
      </w:r>
      <w:proofErr w:type="gramStart"/>
      <w:r>
        <w:t>assento</w:t>
      </w:r>
      <w:proofErr w:type="gramEnd"/>
      <w:r>
        <w:t xml:space="preserve"> constitucional. O art. 156-A, § 5º, II, da Constituição autoriza a lei complementar a condicionar o crédito ao efetivo recolhimento, mas somente se o adquirente puder recolher o imposto de suas aquisições ou se o recolhimento ocorrer na liquidação financeira. Essa condicionante constitucional é decisiva para a interpretação do art. 48, como veremos.</w:t>
      </w:r>
    </w:p>
    <w:p w14:paraId="7DB7BD82" w14:textId="46937B60" w:rsidR="00850625" w:rsidRDefault="0074669E">
      <w:pPr>
        <w:keepNext/>
        <w:spacing w:before="480" w:after="360" w:line="360" w:lineRule="auto"/>
      </w:pPr>
      <w:r w:rsidRPr="0074669E">
        <w:rPr>
          <w:b/>
          <w:bCs/>
          <w:sz w:val="26"/>
          <w:szCs w:val="26"/>
        </w:rPr>
        <w:t>II.3. A regra de transição</w:t>
      </w:r>
      <w:r w:rsidR="00DA357A" w:rsidRPr="00DA357A">
        <w:rPr>
          <w:b/>
          <w:bCs/>
          <w:sz w:val="26"/>
          <w:szCs w:val="26"/>
        </w:rPr>
        <w:t xml:space="preserve"> do art. 48: crédito pelo destaque</w:t>
      </w:r>
    </w:p>
    <w:p w14:paraId="0CEE245B" w14:textId="77777777" w:rsidR="00850625" w:rsidRDefault="00000000">
      <w:pPr>
        <w:spacing w:after="60" w:line="360" w:lineRule="auto"/>
        <w:ind w:firstLine="709"/>
        <w:jc w:val="both"/>
      </w:pPr>
      <w:r>
        <w:t xml:space="preserve">O art. 48 da LC 214/2025 suspende a exigência de extinção enquanto não houver nem split </w:t>
      </w:r>
      <w:proofErr w:type="spellStart"/>
      <w:r>
        <w:t>payment</w:t>
      </w:r>
      <w:proofErr w:type="spellEnd"/>
      <w:r>
        <w:t xml:space="preserve"> nem RAD em funcionamento. É a resposta direta à primeira pergunta.</w:t>
      </w:r>
    </w:p>
    <w:p w14:paraId="26F581C4" w14:textId="77777777" w:rsidR="00850625" w:rsidRDefault="00000000">
      <w:pPr>
        <w:spacing w:after="120" w:line="276" w:lineRule="auto"/>
        <w:ind w:left="1134" w:right="1134"/>
        <w:jc w:val="both"/>
      </w:pPr>
      <w:r>
        <w:rPr>
          <w:i/>
          <w:iCs/>
        </w:rPr>
        <w:t xml:space="preserve">Art. 48. Ficará dispensado o requisito de extinção dos débitos para fins de apropriação dos créditos de que trata o caput do art. 47 desta Lei Complementar, exclusivamente, se não houver sido implementada nenhuma das seguintes modalidades de extinção: I - recolhimento na liquidação financeira da operação (split </w:t>
      </w:r>
      <w:proofErr w:type="spellStart"/>
      <w:r>
        <w:rPr>
          <w:i/>
          <w:iCs/>
        </w:rPr>
        <w:t>payment</w:t>
      </w:r>
      <w:proofErr w:type="spellEnd"/>
      <w:r>
        <w:rPr>
          <w:i/>
          <w:iCs/>
        </w:rPr>
        <w:t xml:space="preserve">), nos termos dos </w:t>
      </w:r>
      <w:proofErr w:type="spellStart"/>
      <w:r>
        <w:rPr>
          <w:i/>
          <w:iCs/>
        </w:rPr>
        <w:t>arts</w:t>
      </w:r>
      <w:proofErr w:type="spellEnd"/>
      <w:r>
        <w:rPr>
          <w:i/>
          <w:iCs/>
        </w:rPr>
        <w:t xml:space="preserve">. 31 e 32 desta Lei Complementar; ou II - recolhimento pelo adquirente, nos termos do art. 36 desta Lei Complementar. Parágrafo único. Na hipótese de que trata o </w:t>
      </w:r>
      <w:r>
        <w:rPr>
          <w:i/>
          <w:iCs/>
        </w:rPr>
        <w:lastRenderedPageBreak/>
        <w:t>caput deste artigo, a apropriação dos créditos ficará condicionada ao destaque dos valores corretos do IBS e da CBS no documento fiscal eletrônico relativo à aquisição.</w:t>
      </w:r>
    </w:p>
    <w:p w14:paraId="337FF35A" w14:textId="77777777" w:rsidR="00850625" w:rsidRDefault="00000000">
      <w:pPr>
        <w:spacing w:after="60" w:line="360" w:lineRule="auto"/>
        <w:ind w:firstLine="709"/>
        <w:jc w:val="both"/>
      </w:pPr>
      <w:r>
        <w:t>Três consequências decorrem do texto. Primeira: durante a dispensa, o adquirente apropria o crédito pelo valor destacado em documento fiscal idôneo, sem prova de pagamento pelo fornecedor e sem responder pela inadimplência dele. Segunda: a condição se desloca para o destaque, que precisa estar correto em base, alíquota, CST e classificação tributária. Terceira: crédito destacado a maior não é aproveitável no excesso, e destaque a menor limita o crédito ao valor destacado.</w:t>
      </w:r>
    </w:p>
    <w:p w14:paraId="4EA7918C" w14:textId="77777777" w:rsidR="00850625" w:rsidRDefault="00000000">
      <w:pPr>
        <w:spacing w:after="60" w:line="360" w:lineRule="auto"/>
        <w:ind w:firstLine="709"/>
        <w:jc w:val="both"/>
      </w:pPr>
      <w:r>
        <w:t>Chamamos a atenção para um dado relevante: nem o Decreto 12.955/2026 nem a Resolução CGIBS 6/2026 reproduzem o art. 48. Os regulamentos transcrevem o art. 47 e a dispensa específica dos combustíveis, mas silenciam sobre a dispensa transitória. O silêncio não a revoga: é norma de lei complementar, de aplicação direta, e o regulamento não poderia restringi-la. Sinaliza, porém, que a administração tratará do tema em ato próprio.</w:t>
      </w:r>
    </w:p>
    <w:p w14:paraId="0D877723" w14:textId="77777777" w:rsidR="00850625" w:rsidRDefault="00000000">
      <w:pPr>
        <w:spacing w:after="60" w:line="360" w:lineRule="auto"/>
        <w:ind w:firstLine="709"/>
        <w:jc w:val="both"/>
      </w:pPr>
      <w:r>
        <w:t xml:space="preserve">Quanto ao estado atual da implementação, o Ato Conjunto RFB/CGIBS 2/2026 aprovou o manual de integração da plataforma do split </w:t>
      </w:r>
      <w:proofErr w:type="spellStart"/>
      <w:r>
        <w:t>payment</w:t>
      </w:r>
      <w:proofErr w:type="spellEnd"/>
      <w:r>
        <w:t>, sem fixar datas. O art. 33 do Decreto 12.955/2026 prevê implantação gradual, em pelo menos duas etapas, por ato conjunto ainda não editado, com primeira etapa facultativa e restrita a operações entre contribuintes do regime regular. A Receita Federal divulgou, no fim de agosto de 2026, que o split será opcional em 2027 e obrigatório apenas em 2028 nas operações entre empresas.</w:t>
      </w:r>
    </w:p>
    <w:p w14:paraId="20F233F0" w14:textId="77777777" w:rsidR="00850625" w:rsidRDefault="00000000">
      <w:pPr>
        <w:spacing w:after="60" w:line="360" w:lineRule="auto"/>
        <w:ind w:firstLine="709"/>
        <w:jc w:val="both"/>
      </w:pPr>
      <w:r w:rsidRPr="009D6443">
        <w:rPr>
          <w:b/>
          <w:bCs/>
          <w:u w:val="single"/>
        </w:rPr>
        <w:t>Em resumo: hoje nenhuma das duas modalidades está implementada</w:t>
      </w:r>
      <w:r>
        <w:t>. Se o quadro se mantiver em 1º de janeiro de 2027, o crédito da CBS será apropriado pelo destaque, na forma do art. 48. A jurisprudência do ICMS reforça a posição: a Súmula 509 do STJ protege o adquirente de boa-fé que comprova a veracidade da operação, e o art. 48 vai além, porque nem sequer exige a boa-fé como requisito autônomo.</w:t>
      </w:r>
    </w:p>
    <w:p w14:paraId="06BF36D6" w14:textId="7F1476BB" w:rsidR="00850625" w:rsidRDefault="0074669E">
      <w:pPr>
        <w:keepNext/>
        <w:spacing w:before="480" w:after="360" w:line="360" w:lineRule="auto"/>
      </w:pPr>
      <w:r w:rsidRPr="0074669E">
        <w:rPr>
          <w:b/>
          <w:bCs/>
          <w:sz w:val="26"/>
          <w:szCs w:val="26"/>
        </w:rPr>
        <w:lastRenderedPageBreak/>
        <w:t>II.4. O recolhimento pelo adquirente (RAD)</w:t>
      </w:r>
    </w:p>
    <w:p w14:paraId="2B3AA2FA" w14:textId="77777777" w:rsidR="0074669E" w:rsidRDefault="00000000">
      <w:pPr>
        <w:spacing w:after="60" w:line="360" w:lineRule="auto"/>
        <w:ind w:firstLine="709"/>
        <w:jc w:val="both"/>
      </w:pPr>
      <w:r>
        <w:t xml:space="preserve">O art. 36 da LC 214/2025 permite que o adquirente do regime regular recolha ele próprio a CBS da operação quando o pagamento ao fornecedor for feito por instrumento que não permita o split. </w:t>
      </w:r>
    </w:p>
    <w:p w14:paraId="70A76F81" w14:textId="17EAF160" w:rsidR="00850625" w:rsidRDefault="00000000">
      <w:pPr>
        <w:spacing w:after="60" w:line="360" w:lineRule="auto"/>
        <w:ind w:firstLine="709"/>
        <w:jc w:val="both"/>
      </w:pPr>
      <w:r>
        <w:t>A opção se exerce pelo simples recolhimento (§ 1º). O valor é usado exclusivamente para extinguir o débito daquela operação, e o excedente é devolvido ao fornecedor em até três dias úteis (§ 3º). O art. 36 do Decreto 12.955/2026 repete o regime e trata cada instrumento de pagamento separadamente.</w:t>
      </w:r>
    </w:p>
    <w:p w14:paraId="626D97CE" w14:textId="77777777" w:rsidR="00850625" w:rsidRDefault="00000000">
      <w:pPr>
        <w:spacing w:after="60" w:line="360" w:lineRule="auto"/>
        <w:ind w:firstLine="709"/>
        <w:jc w:val="both"/>
      </w:pPr>
      <w:r>
        <w:t>A resposta à segunda pergunta é afirmativa, mas com uma diferença de mecânica. O art. 48 menciona as duas modalidades em alternativa: a dispensa vale enquanto nenhuma delas estiver implementada. Logo, a implementação do RAD, sozinha, é suficiente para encerrar a dispensa na leitura literal, mesmo que o split continue indisponível.</w:t>
      </w:r>
    </w:p>
    <w:p w14:paraId="3AD054A0" w14:textId="77777777" w:rsidR="00FE3A7A" w:rsidRDefault="00000000">
      <w:pPr>
        <w:spacing w:after="60" w:line="360" w:lineRule="auto"/>
        <w:ind w:firstLine="709"/>
        <w:jc w:val="both"/>
      </w:pPr>
      <w:r>
        <w:t>A diferença está no modo de implantação. O split depende de ato conjunto com etapas definidas e de habilitação dos arranjos de pagamento. O RAD depende apenas de a Receita Federal disponibilizar o documento de arrecadação vinculado à operação e o mecanismo de acompanhamento pelo fornecedor (art. 36, § 4º, da LC). Não há, no decreto, data ou ato específico para isso. A implantação do RAD pode ocorrer de forma discreta, sem a publicidade que cerca o split.</w:t>
      </w:r>
    </w:p>
    <w:p w14:paraId="2165A1EA" w14:textId="60DABA04" w:rsidR="00850625" w:rsidRDefault="00FE3A7A">
      <w:pPr>
        <w:spacing w:after="60" w:line="360" w:lineRule="auto"/>
        <w:ind w:firstLine="709"/>
        <w:jc w:val="both"/>
      </w:pPr>
      <w:r>
        <w:t xml:space="preserve">Registramos, por fim, uma delimitação necessária. O RAD extingue o débito daquela operação, apurado pelo regime regular e destacado no documento fiscal. Na saída do optante do Simples Nacional que permanece no regime unificado, a CBS é recolhida por dentro do DAS e não há débito autônomo por operação a extinguir: não cabem o split </w:t>
      </w:r>
      <w:proofErr w:type="spellStart"/>
      <w:r>
        <w:t>payment</w:t>
      </w:r>
      <w:proofErr w:type="spellEnd"/>
      <w:r>
        <w:t xml:space="preserve"> nem o RAD, e o crédito do adquirente limita-se ao montante devido por meio daquele regime (art. 47, § 9º, </w:t>
      </w:r>
      <w:r>
        <w:lastRenderedPageBreak/>
        <w:t>II). As duas modalidades voltam a operar se o fornecedor exercer a opção do art. 41, § 3º, da LC 214/2025 e passar a apurar o IBS e a CBS por fora do DAS — o chamado modelo híbrido —, hipótese em que há destaque integral e crédito pleno.</w:t>
      </w:r>
    </w:p>
    <w:p w14:paraId="53014CF2" w14:textId="77777777" w:rsidR="00850625" w:rsidRDefault="00000000">
      <w:pPr>
        <w:spacing w:after="60" w:line="360" w:lineRule="auto"/>
        <w:ind w:firstLine="709"/>
        <w:jc w:val="both"/>
      </w:pPr>
      <w:r>
        <w:t>Para quem usar o RAD, o crédito é certo: a extinção fica vinculada à própria operação e o adquirente detém a prova. Para quem não usar, estando o RAD disponível, o crédito volta a depender da extinção pelo fornecedor, verificada no sistema de apuração assistida do art. 46. O quadro a seguir compara as situações.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2300"/>
        <w:gridCol w:w="2300"/>
        <w:gridCol w:w="2300"/>
      </w:tblGrid>
      <w:tr w:rsidR="00850625" w14:paraId="6502A17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F1CFEE" w14:textId="77777777" w:rsidR="00850625" w:rsidRDefault="00000000">
            <w:r>
              <w:rPr>
                <w:b/>
                <w:bCs/>
                <w:color w:val="1F3864"/>
                <w:sz w:val="20"/>
                <w:szCs w:val="20"/>
              </w:rPr>
              <w:t>Situação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2CC82" w14:textId="77777777" w:rsidR="00850625" w:rsidRDefault="00000000">
            <w:r>
              <w:rPr>
                <w:b/>
                <w:bCs/>
                <w:color w:val="1F3864"/>
                <w:sz w:val="20"/>
                <w:szCs w:val="20"/>
              </w:rPr>
              <w:t>Base do crédito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C520C" w14:textId="77777777" w:rsidR="00850625" w:rsidRDefault="00000000">
            <w:r>
              <w:rPr>
                <w:b/>
                <w:bCs/>
                <w:color w:val="1F3864"/>
                <w:sz w:val="20"/>
                <w:szCs w:val="20"/>
              </w:rPr>
              <w:t>Prova exigida do adquirente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546063" w14:textId="77777777" w:rsidR="00850625" w:rsidRDefault="00000000">
            <w:r>
              <w:rPr>
                <w:b/>
                <w:bCs/>
                <w:color w:val="1F3864"/>
                <w:sz w:val="20"/>
                <w:szCs w:val="20"/>
              </w:rPr>
              <w:t>Risco de inadimplência do fornecedor</w:t>
            </w:r>
          </w:p>
        </w:tc>
      </w:tr>
      <w:tr w:rsidR="00850625" w14:paraId="0CA023A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A04FD" w14:textId="77777777" w:rsidR="00850625" w:rsidRDefault="00000000">
            <w:r>
              <w:rPr>
                <w:color w:val="1F3864"/>
                <w:sz w:val="20"/>
                <w:szCs w:val="20"/>
              </w:rPr>
              <w:t>Nem split nem RAD implementados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E29D1" w14:textId="77777777" w:rsidR="00850625" w:rsidRDefault="00000000">
            <w:r>
              <w:rPr>
                <w:color w:val="1F3864"/>
                <w:sz w:val="20"/>
                <w:szCs w:val="20"/>
              </w:rPr>
              <w:t>Destaque no documento fiscal (art. 48)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6EA7B" w14:textId="77777777" w:rsidR="00850625" w:rsidRDefault="00000000">
            <w:r>
              <w:rPr>
                <w:color w:val="1F3864"/>
                <w:sz w:val="20"/>
                <w:szCs w:val="20"/>
              </w:rPr>
              <w:t>Documento fiscal idôneo com destaque correto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E22F6" w14:textId="77777777" w:rsidR="00850625" w:rsidRDefault="00000000">
            <w:r>
              <w:rPr>
                <w:color w:val="1F3864"/>
                <w:sz w:val="20"/>
                <w:szCs w:val="20"/>
              </w:rPr>
              <w:t>Não recai sobre o adquirente</w:t>
            </w:r>
          </w:p>
        </w:tc>
      </w:tr>
      <w:tr w:rsidR="00850625" w14:paraId="0E90D84D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3B42C" w14:textId="77777777" w:rsidR="00850625" w:rsidRDefault="00000000">
            <w:r>
              <w:rPr>
                <w:color w:val="1F3864"/>
                <w:sz w:val="20"/>
                <w:szCs w:val="20"/>
              </w:rPr>
              <w:t>RAD disponível e utilizado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3F046" w14:textId="77777777" w:rsidR="00850625" w:rsidRDefault="00000000">
            <w:r>
              <w:rPr>
                <w:color w:val="1F3864"/>
                <w:sz w:val="20"/>
                <w:szCs w:val="20"/>
              </w:rPr>
              <w:t>Recolhimento pelo próprio adquirente (art. 36)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583AB" w14:textId="77777777" w:rsidR="00850625" w:rsidRDefault="00000000">
            <w:r>
              <w:rPr>
                <w:color w:val="1F3864"/>
                <w:sz w:val="20"/>
                <w:szCs w:val="20"/>
              </w:rPr>
              <w:t>Guia vinculada à operação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939F3" w14:textId="77777777" w:rsidR="00850625" w:rsidRDefault="00000000">
            <w:r>
              <w:rPr>
                <w:color w:val="1F3864"/>
                <w:sz w:val="20"/>
                <w:szCs w:val="20"/>
              </w:rPr>
              <w:t>Eliminado</w:t>
            </w:r>
          </w:p>
        </w:tc>
      </w:tr>
      <w:tr w:rsidR="00850625" w14:paraId="61F224D5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6BE37" w14:textId="77777777" w:rsidR="00850625" w:rsidRDefault="00000000">
            <w:r>
              <w:rPr>
                <w:color w:val="1F3864"/>
                <w:sz w:val="20"/>
                <w:szCs w:val="20"/>
              </w:rPr>
              <w:t>RAD disponível e não utilizado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C1F52" w14:textId="77777777" w:rsidR="00850625" w:rsidRDefault="00000000">
            <w:r>
              <w:rPr>
                <w:color w:val="1F3864"/>
                <w:sz w:val="20"/>
                <w:szCs w:val="20"/>
              </w:rPr>
              <w:t>Extinção pelo fornecedor (art. 47)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A505F" w14:textId="77777777" w:rsidR="00850625" w:rsidRDefault="00000000">
            <w:r>
              <w:rPr>
                <w:color w:val="1F3864"/>
                <w:sz w:val="20"/>
                <w:szCs w:val="20"/>
              </w:rPr>
              <w:t>Confirmação na apuração assistida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A4693" w14:textId="77777777" w:rsidR="00850625" w:rsidRDefault="00000000">
            <w:r>
              <w:rPr>
                <w:color w:val="1F3864"/>
                <w:sz w:val="20"/>
                <w:szCs w:val="20"/>
              </w:rPr>
              <w:t>Recai sobre o adquirente</w:t>
            </w:r>
          </w:p>
        </w:tc>
      </w:tr>
      <w:tr w:rsidR="00850625" w14:paraId="04ECEC7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BD865" w14:textId="77777777" w:rsidR="00850625" w:rsidRDefault="00000000">
            <w:r>
              <w:rPr>
                <w:color w:val="1F3864"/>
                <w:sz w:val="20"/>
                <w:szCs w:val="20"/>
              </w:rPr>
              <w:t>Split em operação para o arranjo usado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296C71" w14:textId="77777777" w:rsidR="00850625" w:rsidRDefault="00000000">
            <w:r>
              <w:rPr>
                <w:color w:val="1F3864"/>
                <w:sz w:val="20"/>
                <w:szCs w:val="20"/>
              </w:rPr>
              <w:t>Segregação na liquidação financeira (</w:t>
            </w:r>
            <w:proofErr w:type="spellStart"/>
            <w:r>
              <w:rPr>
                <w:color w:val="1F3864"/>
                <w:sz w:val="20"/>
                <w:szCs w:val="20"/>
              </w:rPr>
              <w:t>arts</w:t>
            </w:r>
            <w:proofErr w:type="spellEnd"/>
            <w:r>
              <w:rPr>
                <w:color w:val="1F3864"/>
                <w:sz w:val="20"/>
                <w:szCs w:val="20"/>
              </w:rPr>
              <w:t>. 31 a 33)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31E50B" w14:textId="77777777" w:rsidR="00850625" w:rsidRDefault="00000000">
            <w:r>
              <w:rPr>
                <w:color w:val="1F3864"/>
                <w:sz w:val="20"/>
                <w:szCs w:val="20"/>
              </w:rPr>
              <w:t>Nenhuma; a extinção é automática</w:t>
            </w:r>
          </w:p>
        </w:tc>
        <w:tc>
          <w:tcPr>
            <w:tcW w:w="23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CC777" w14:textId="77777777" w:rsidR="00850625" w:rsidRDefault="00000000">
            <w:r>
              <w:rPr>
                <w:color w:val="1F3864"/>
                <w:sz w:val="20"/>
                <w:szCs w:val="20"/>
              </w:rPr>
              <w:t>Eliminado</w:t>
            </w:r>
          </w:p>
        </w:tc>
      </w:tr>
    </w:tbl>
    <w:p w14:paraId="10372DC0" w14:textId="77777777" w:rsidR="00850625" w:rsidRDefault="00850625">
      <w:pPr>
        <w:spacing w:after="120"/>
      </w:pPr>
    </w:p>
    <w:p w14:paraId="2FE2E6E8" w14:textId="1F71FD4A" w:rsidR="00850625" w:rsidRDefault="0074669E">
      <w:pPr>
        <w:keepNext/>
        <w:spacing w:before="480" w:after="360" w:line="360" w:lineRule="auto"/>
      </w:pPr>
      <w:r w:rsidRPr="0074669E">
        <w:rPr>
          <w:b/>
          <w:bCs/>
          <w:sz w:val="26"/>
          <w:szCs w:val="26"/>
        </w:rPr>
        <w:t>II.5. O ponto controvertido</w:t>
      </w:r>
      <w:r w:rsidR="00DA357A" w:rsidRPr="00DA357A">
        <w:rPr>
          <w:b/>
          <w:bCs/>
          <w:sz w:val="26"/>
          <w:szCs w:val="26"/>
        </w:rPr>
        <w:t>: o que significa "implementada"</w:t>
      </w:r>
    </w:p>
    <w:p w14:paraId="2EC1290D" w14:textId="77777777" w:rsidR="00850625" w:rsidRDefault="00000000">
      <w:pPr>
        <w:spacing w:after="60" w:line="360" w:lineRule="auto"/>
        <w:ind w:firstLine="709"/>
        <w:jc w:val="both"/>
      </w:pPr>
      <w:r>
        <w:t>A dúvida central é saber quando a dispensa do art. 48 cessa. Há duas leituras. A literal sustenta que basta a edição do ato conjunto ou a disponibilização da guia do RAD para que a dispensa acabe para todos os contribuintes, inclusive nas operações pagas por instrumentos ainda não habilitados ao split. A finalística sustenta que a dispensa só cessa quando a modalidade estiver efetivamente disponível para a operação concreta do adquirente.</w:t>
      </w:r>
    </w:p>
    <w:p w14:paraId="4350983C" w14:textId="77777777" w:rsidR="00850625" w:rsidRDefault="00000000">
      <w:pPr>
        <w:spacing w:after="60" w:line="360" w:lineRule="auto"/>
        <w:ind w:firstLine="709"/>
        <w:jc w:val="both"/>
      </w:pPr>
      <w:r>
        <w:lastRenderedPageBreak/>
        <w:t>Entendemos que a leitura finalística é a juridicamente mais sólida. O art. 156-A, § 5º, II, da Constituição só autoriza condicionar o crédito ao recolhimento se o adquirente puder recolher o imposto ou se o recolhimento ocorrer na liquidação financeira. Uma primeira etapa de split facultativa e limitada a alguns arranjos não coloca essa condição ao alcance da generalidade dos adquirentes. Condicionar o crédito nessa fase significaria transferir ao adquirente o risco de inadimplência do fornecedor sem lhe dar o instrumento para evitá-lo, exatamente o que a Constituição veda.</w:t>
      </w:r>
    </w:p>
    <w:p w14:paraId="05ED1EB3" w14:textId="77777777" w:rsidR="00850625" w:rsidRDefault="00000000">
      <w:pPr>
        <w:spacing w:after="60" w:line="360" w:lineRule="auto"/>
        <w:ind w:firstLine="709"/>
        <w:jc w:val="both"/>
      </w:pPr>
      <w:r>
        <w:t>A situação do RAD é diferente e merece cautela. Disponibilizado o RAD, o adquirente passa a ter o instrumento que a Constituição exige. A partir daí a leitura literal ganha força: quem não usa o RAD assume, por escolha própria, o risco da inadimplência do fornecedor. O ônus prático é antecipar o tributo para garantir o crédito, e isso interfere no fluxo de caixa e na relação comercial com o fornecedor.</w:t>
      </w:r>
    </w:p>
    <w:p w14:paraId="74BF77E4" w14:textId="77777777" w:rsidR="00850625" w:rsidRDefault="00000000">
      <w:pPr>
        <w:spacing w:after="60" w:line="360" w:lineRule="auto"/>
        <w:ind w:firstLine="709"/>
        <w:jc w:val="both"/>
      </w:pPr>
      <w:r>
        <w:t>A lei ainda não esclarece o tema de forma completa. A leitura mais provável, para fins de planejamento, é a seguinte: a edição de uma primeira etapa facultativa do split não encerra a dispensa por si só, mas a disponibilização operacional do RAD tende a encerrá-la, ao menos para os adquirentes que poderiam usá-lo e não o fizeram. A prudência recomenda tratar a data de disponibilização do RAD como o marco de virada do regime de créditos.</w:t>
      </w:r>
    </w:p>
    <w:p w14:paraId="70674EE0" w14:textId="23FDB0E9" w:rsidR="00850625" w:rsidRDefault="00DA357A">
      <w:pPr>
        <w:keepNext/>
        <w:spacing w:before="480" w:after="360" w:line="360" w:lineRule="auto"/>
      </w:pPr>
      <w:r w:rsidRPr="00DA357A">
        <w:rPr>
          <w:b/>
          <w:bCs/>
          <w:sz w:val="26"/>
          <w:szCs w:val="26"/>
        </w:rPr>
        <w:t>III – DA CONCLUSÃO E DAS PROVIDÊNCIAS</w:t>
      </w:r>
    </w:p>
    <w:p w14:paraId="367B9351" w14:textId="77777777" w:rsidR="0074669E" w:rsidRDefault="00000000">
      <w:pPr>
        <w:spacing w:after="60" w:line="360" w:lineRule="auto"/>
        <w:ind w:firstLine="709"/>
        <w:jc w:val="both"/>
      </w:pPr>
      <w:r>
        <w:t xml:space="preserve">Respondemos às questões nos seguintes termos. </w:t>
      </w:r>
    </w:p>
    <w:p w14:paraId="4649DA8A" w14:textId="55B25BE0" w:rsidR="00850625" w:rsidRDefault="00000000">
      <w:pPr>
        <w:spacing w:after="60" w:line="360" w:lineRule="auto"/>
        <w:ind w:firstLine="709"/>
        <w:jc w:val="both"/>
      </w:pPr>
      <w:r w:rsidRPr="0074669E">
        <w:rPr>
          <w:b/>
          <w:bCs/>
        </w:rPr>
        <w:t>Primeira:</w:t>
      </w:r>
      <w:r>
        <w:t xml:space="preserve"> enquanto não implementados o split </w:t>
      </w:r>
      <w:proofErr w:type="spellStart"/>
      <w:r>
        <w:t>payment</w:t>
      </w:r>
      <w:proofErr w:type="spellEnd"/>
      <w:r>
        <w:t xml:space="preserve"> e o recolhimento pelo adquirente, o crédito da CBS pode ser apropriado com base apenas no documento fiscal eletrônico idôneo, sem prova de liquidação pelo fornecedor, </w:t>
      </w:r>
      <w:r>
        <w:lastRenderedPageBreak/>
        <w:t>por força do art. 48 da LC 214/2025. A única condição é o destaque correto do tributo.</w:t>
      </w:r>
    </w:p>
    <w:p w14:paraId="1A51C105" w14:textId="562FAE6E" w:rsidR="00850625" w:rsidRDefault="00000000">
      <w:pPr>
        <w:spacing w:after="60" w:line="360" w:lineRule="auto"/>
        <w:ind w:firstLine="709"/>
        <w:jc w:val="both"/>
      </w:pPr>
      <w:r w:rsidRPr="0074669E">
        <w:rPr>
          <w:b/>
          <w:bCs/>
        </w:rPr>
        <w:t>Segunda</w:t>
      </w:r>
      <w:r>
        <w:t xml:space="preserve">: o raciocínio vale para o RAD, com a ressalva de que sua implementação, isoladamente, é apta a encerrar a dispensa. O contribuinte que, podendo usar o RAD, optar por não </w:t>
      </w:r>
      <w:r w:rsidR="0074669E">
        <w:t>o fazer</w:t>
      </w:r>
      <w:r>
        <w:t>, passa a depender da extinção do débito pelo fornecedor para apropriar o crédito.</w:t>
      </w:r>
    </w:p>
    <w:p w14:paraId="2F7AC217" w14:textId="77777777" w:rsidR="00FE3A7A" w:rsidRDefault="00000000">
      <w:pPr>
        <w:spacing w:after="60" w:line="360" w:lineRule="auto"/>
        <w:ind w:firstLine="709"/>
        <w:jc w:val="both"/>
      </w:pPr>
      <w:r>
        <w:t xml:space="preserve">Recomendamos </w:t>
      </w:r>
      <w:r w:rsidR="0074669E" w:rsidRPr="0074669E">
        <w:t>cinc</w:t>
      </w:r>
      <w:r>
        <w:t xml:space="preserve">o providências. </w:t>
      </w:r>
    </w:p>
    <w:p w14:paraId="4D668AF9" w14:textId="1C1BCA66" w:rsidR="00850625" w:rsidRDefault="00000000">
      <w:pPr>
        <w:spacing w:after="60" w:line="360" w:lineRule="auto"/>
        <w:ind w:firstLine="709"/>
        <w:jc w:val="both"/>
      </w:pPr>
      <w:r w:rsidRPr="00FE3A7A">
        <w:rPr>
          <w:b/>
          <w:bCs/>
          <w:u w:val="single"/>
        </w:rPr>
        <w:t>Instituir</w:t>
      </w:r>
      <w:r>
        <w:t xml:space="preserve">, desde já, rotina de validação dos documentos fiscais de entrada quanto a base, alíquota, CST e classificação tributária da CBS, porque o destaque incorreto é o único risco real durante a dispensa. </w:t>
      </w:r>
      <w:r w:rsidRPr="00FE3A7A">
        <w:rPr>
          <w:b/>
          <w:bCs/>
          <w:u w:val="single"/>
        </w:rPr>
        <w:t>Monitorar</w:t>
      </w:r>
      <w:r>
        <w:t xml:space="preserve"> o ato conjunto RFB/CGIBS de implantação do split e, com igual atenção, a disponibilização da guia do RAD. </w:t>
      </w:r>
      <w:r w:rsidRPr="00FE3A7A">
        <w:rPr>
          <w:b/>
          <w:bCs/>
          <w:u w:val="single"/>
        </w:rPr>
        <w:t>Preparar</w:t>
      </w:r>
      <w:r>
        <w:t xml:space="preserve"> o sistema de apuração para conciliar crédito e extinção. </w:t>
      </w:r>
      <w:r w:rsidRPr="00FE3A7A">
        <w:rPr>
          <w:b/>
          <w:bCs/>
          <w:u w:val="single"/>
        </w:rPr>
        <w:t>Revisar</w:t>
      </w:r>
      <w:r>
        <w:t xml:space="preserve"> contratos com fornecedores relevantes para incluir cláusulas de cooperação fiscal e de recomposição do crédito frustrado.</w:t>
      </w:r>
      <w:r w:rsidR="0074669E">
        <w:t xml:space="preserve"> Por fim, </w:t>
      </w:r>
      <w:r w:rsidR="0074669E" w:rsidRPr="00FE3A7A">
        <w:rPr>
          <w:b/>
          <w:bCs/>
          <w:u w:val="single"/>
        </w:rPr>
        <w:t>mapear</w:t>
      </w:r>
      <w:r w:rsidR="0074669E">
        <w:t xml:space="preserve"> o regime de apuração dos fornecedores optantes do Simples Nacional e tratar a opção pelo regime híbrido como critério de seleção e de precificação nas contratações futuras, na forma do item II.</w:t>
      </w:r>
      <w:r w:rsidR="00FE3A7A" w:rsidRPr="00FE3A7A">
        <w:t>4</w:t>
      </w:r>
      <w:r w:rsidR="0074669E">
        <w:t>.</w:t>
      </w:r>
    </w:p>
    <w:p w14:paraId="7F439C18" w14:textId="51ACFFF7" w:rsidR="00FE3A7A" w:rsidRDefault="00FE3A7A">
      <w:pPr>
        <w:spacing w:after="60" w:line="360" w:lineRule="auto"/>
        <w:ind w:firstLine="709"/>
        <w:jc w:val="both"/>
      </w:pPr>
      <w:r>
        <w:t>O tomador dos serviços poderá</w:t>
      </w:r>
      <w:r w:rsidRPr="00FE3A7A">
        <w:t xml:space="preserve">, por isso, dar preferência ao prestador no modelo híbrido: é nessa hipótese que há destaque integral, crédito pleno e acesso às modalidades de extinção vinculadas à operação, entre elas </w:t>
      </w:r>
      <w:r>
        <w:t>o RAD.</w:t>
      </w:r>
    </w:p>
    <w:p w14:paraId="71EE4819" w14:textId="77777777" w:rsidR="00850625" w:rsidRDefault="00000000">
      <w:pPr>
        <w:spacing w:after="60" w:line="360" w:lineRule="auto"/>
        <w:ind w:firstLine="709"/>
        <w:jc w:val="both"/>
      </w:pPr>
      <w:r>
        <w:t>É o parecer.</w:t>
      </w:r>
    </w:p>
    <w:p w14:paraId="5D50D886" w14:textId="77777777" w:rsidR="00850625" w:rsidRDefault="00000000">
      <w:pPr>
        <w:spacing w:before="480" w:after="120" w:line="360" w:lineRule="auto"/>
        <w:jc w:val="center"/>
      </w:pPr>
      <w:r>
        <w:rPr>
          <w:b/>
          <w:bCs/>
        </w:rPr>
        <w:t>Piraci Oliveira</w:t>
      </w:r>
    </w:p>
    <w:p w14:paraId="018F66AC" w14:textId="77777777" w:rsidR="00850625" w:rsidRDefault="00000000">
      <w:pPr>
        <w:spacing w:after="120" w:line="360" w:lineRule="auto"/>
        <w:jc w:val="center"/>
      </w:pPr>
      <w:r>
        <w:t>OAB/SP 200.270</w:t>
      </w:r>
    </w:p>
    <w:sectPr w:rsidR="00850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C7563C" w14:textId="77777777" w:rsidR="00F2079F" w:rsidRDefault="00F2079F">
      <w:r>
        <w:separator/>
      </w:r>
    </w:p>
  </w:endnote>
  <w:endnote w:type="continuationSeparator" w:id="0">
    <w:p w14:paraId="737D85B4" w14:textId="77777777" w:rsidR="00F2079F" w:rsidRDefault="00F2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1E1A95" w14:textId="77777777" w:rsidR="00DA357A" w:rsidRDefault="00DA35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B3131B" w14:textId="77777777" w:rsidR="00850625" w:rsidRDefault="00000000">
    <w:pPr>
      <w:pBdr>
        <w:top w:val="single" w:sz="6" w:space="4" w:color="000000"/>
      </w:pBdr>
      <w:jc w:val="center"/>
    </w:pPr>
    <w:r>
      <w:rPr>
        <w:sz w:val="18"/>
        <w:szCs w:val="18"/>
      </w:rPr>
      <w:t xml:space="preserve">piraci@piraci.com.br / </w:t>
    </w:r>
    <w:proofErr w:type="spellStart"/>
    <w:proofErr w:type="gramStart"/>
    <w:r>
      <w:rPr>
        <w:sz w:val="18"/>
        <w:szCs w:val="18"/>
      </w:rPr>
      <w:t>piraciadv.blog</w:t>
    </w:r>
    <w:proofErr w:type="spellEnd"/>
    <w:proofErr w:type="gramEnd"/>
    <w:r>
      <w:rPr>
        <w:sz w:val="18"/>
        <w:szCs w:val="18"/>
      </w:rPr>
      <w:t xml:space="preserve"> / </w:t>
    </w:r>
    <w:proofErr w:type="spellStart"/>
    <w:r>
      <w:rPr>
        <w:sz w:val="18"/>
        <w:szCs w:val="18"/>
      </w:rPr>
      <w:t>piracioliveira</w:t>
    </w:r>
    <w:proofErr w:type="spellEnd"/>
    <w:r>
      <w:rPr>
        <w:sz w:val="18"/>
        <w:szCs w:val="18"/>
      </w:rPr>
      <w:t xml:space="preserve"> (</w:t>
    </w:r>
    <w:proofErr w:type="spellStart"/>
    <w:r>
      <w:rPr>
        <w:sz w:val="18"/>
        <w:szCs w:val="18"/>
      </w:rPr>
      <w:t>instagram</w:t>
    </w:r>
    <w:proofErr w:type="spellEnd"/>
    <w:r>
      <w:rPr>
        <w:sz w:val="18"/>
        <w:szCs w:val="18"/>
      </w:rPr>
      <w:t>)</w:t>
    </w:r>
  </w:p>
  <w:p w14:paraId="27F0C23C" w14:textId="77777777" w:rsidR="00850625" w:rsidRDefault="00000000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A357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362BE" w14:textId="77777777" w:rsidR="00DA357A" w:rsidRDefault="00DA35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48B26D" w14:textId="77777777" w:rsidR="00F2079F" w:rsidRDefault="00F2079F">
      <w:r>
        <w:separator/>
      </w:r>
    </w:p>
  </w:footnote>
  <w:footnote w:type="continuationSeparator" w:id="0">
    <w:p w14:paraId="7380C549" w14:textId="77777777" w:rsidR="00F2079F" w:rsidRDefault="00F2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0F61C4" w14:textId="77777777" w:rsidR="00DA357A" w:rsidRDefault="00DA35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81A1A3" w14:textId="77777777" w:rsidR="00850625" w:rsidRDefault="00000000">
    <w:pPr>
      <w:jc w:val="center"/>
    </w:pPr>
    <w:r>
      <w:rPr>
        <w:b/>
        <w:bCs/>
        <w:sz w:val="28"/>
        <w:szCs w:val="28"/>
      </w:rPr>
      <w:t>PIRACI OLIVEIRA</w:t>
    </w:r>
  </w:p>
  <w:p w14:paraId="7722AD46" w14:textId="77777777" w:rsidR="00850625" w:rsidRDefault="00000000">
    <w:pPr>
      <w:pBdr>
        <w:bottom w:val="single" w:sz="6" w:space="4" w:color="000000"/>
      </w:pBdr>
      <w:spacing w:after="240"/>
      <w:jc w:val="center"/>
    </w:pPr>
    <w:r>
      <w:rPr>
        <w:sz w:val="18"/>
        <w:szCs w:val="18"/>
      </w:rPr>
      <w:t>Sociedade de Advogados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33A1C" w14:textId="77777777" w:rsidR="00DA357A" w:rsidRDefault="00DA35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4E470E"/>
    <w:multiLevelType w:val="hybridMultilevel"/>
    <w:tmpl w:val="59626394"/>
    <w:lvl w:ilvl="0" w:tplc="953ED2E2">
      <w:start w:val="1"/>
      <w:numFmt w:val="bullet"/>
      <w:lvlText w:val="●"/>
      <w:lvlJc w:val="left"/>
      <w:pPr>
        <w:ind w:left="720" w:hanging="360"/>
      </w:pPr>
    </w:lvl>
    <w:lvl w:ilvl="1" w:tplc="BD88B8C8">
      <w:start w:val="1"/>
      <w:numFmt w:val="bullet"/>
      <w:lvlText w:val="○"/>
      <w:lvlJc w:val="left"/>
      <w:pPr>
        <w:ind w:left="1440" w:hanging="360"/>
      </w:pPr>
    </w:lvl>
    <w:lvl w:ilvl="2" w:tplc="7506D1C8">
      <w:start w:val="1"/>
      <w:numFmt w:val="bullet"/>
      <w:lvlText w:val="■"/>
      <w:lvlJc w:val="left"/>
      <w:pPr>
        <w:ind w:left="2160" w:hanging="360"/>
      </w:pPr>
    </w:lvl>
    <w:lvl w:ilvl="3" w:tplc="972E4DDE">
      <w:start w:val="1"/>
      <w:numFmt w:val="bullet"/>
      <w:lvlText w:val="●"/>
      <w:lvlJc w:val="left"/>
      <w:pPr>
        <w:ind w:left="2880" w:hanging="360"/>
      </w:pPr>
    </w:lvl>
    <w:lvl w:ilvl="4" w:tplc="BF28E24C">
      <w:start w:val="1"/>
      <w:numFmt w:val="bullet"/>
      <w:lvlText w:val="○"/>
      <w:lvlJc w:val="left"/>
      <w:pPr>
        <w:ind w:left="3600" w:hanging="360"/>
      </w:pPr>
    </w:lvl>
    <w:lvl w:ilvl="5" w:tplc="008AE7DC">
      <w:start w:val="1"/>
      <w:numFmt w:val="bullet"/>
      <w:lvlText w:val="■"/>
      <w:lvlJc w:val="left"/>
      <w:pPr>
        <w:ind w:left="4320" w:hanging="360"/>
      </w:pPr>
    </w:lvl>
    <w:lvl w:ilvl="6" w:tplc="767CEE12">
      <w:start w:val="1"/>
      <w:numFmt w:val="bullet"/>
      <w:lvlText w:val="●"/>
      <w:lvlJc w:val="left"/>
      <w:pPr>
        <w:ind w:left="5040" w:hanging="360"/>
      </w:pPr>
    </w:lvl>
    <w:lvl w:ilvl="7" w:tplc="F14806BA">
      <w:start w:val="1"/>
      <w:numFmt w:val="bullet"/>
      <w:lvlText w:val="●"/>
      <w:lvlJc w:val="left"/>
      <w:pPr>
        <w:ind w:left="5760" w:hanging="360"/>
      </w:pPr>
    </w:lvl>
    <w:lvl w:ilvl="8" w:tplc="6FA69754">
      <w:start w:val="1"/>
      <w:numFmt w:val="bullet"/>
      <w:lvlText w:val="●"/>
      <w:lvlJc w:val="left"/>
      <w:pPr>
        <w:ind w:left="6480" w:hanging="360"/>
      </w:pPr>
    </w:lvl>
  </w:abstractNum>
  <w:num w:numId="1" w16cid:durableId="15899979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25"/>
    <w:rsid w:val="0074669E"/>
    <w:rsid w:val="00850625"/>
    <w:rsid w:val="008D1A93"/>
    <w:rsid w:val="009D6443"/>
    <w:rsid w:val="00DA357A"/>
    <w:rsid w:val="00F2079F"/>
    <w:rsid w:val="00F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78F0F"/>
  <w15:docId w15:val="{354CF947-AF61-1041-802A-2694614C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="Palatino Linotype" w:hAnsi="Palatino Linotype" w:cs="Palatino Linotype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A3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357A"/>
  </w:style>
  <w:style w:type="paragraph" w:styleId="Rodap">
    <w:name w:val="footer"/>
    <w:basedOn w:val="Normal"/>
    <w:link w:val="RodapChar"/>
    <w:uiPriority w:val="99"/>
    <w:unhideWhenUsed/>
    <w:rsid w:val="00DA3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3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E7EA39-35CD-7445-8DED-9018F062F474}">
  <we:reference id="wa200010453" version="1.0.0.1" store="pt-BR" storeType="OMEX"/>
  <we:alternateReferences>
    <we:reference id="wa200010453" version="1.0.0.1" store="pt-BR" storeType="OMEX"/>
  </we:alternateReferences>
  <we:properties>
    <we:property name="claude.fileId" value="&quot;606400f1-2db3-4f51-abc5-8908b85fd017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2183</Words>
  <Characters>11157</Characters>
  <Application>Microsoft Office Word</Application>
  <DocSecurity>0</DocSecurity>
  <Lines>247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Piraci Oliveira</cp:lastModifiedBy>
  <cp:revision>4</cp:revision>
  <dcterms:created xsi:type="dcterms:W3CDTF">2026-09-05T16:01:00Z</dcterms:created>
  <dcterms:modified xsi:type="dcterms:W3CDTF">2026-09-05T16:20:00Z</dcterms:modified>
</cp:coreProperties>
</file>