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22B211" w14:textId="77777777" w:rsidR="00210214" w:rsidRDefault="00000000">
      <w:pPr>
        <w:spacing w:after="360"/>
        <w:jc w:val="right"/>
      </w:pPr>
      <w:r>
        <w:t>São Paulo, 12 de setembro de 2026</w:t>
      </w:r>
    </w:p>
    <w:p w14:paraId="37162DE9" w14:textId="77777777" w:rsidR="00210214" w:rsidRDefault="00000000">
      <w:pPr>
        <w:spacing w:after="120"/>
        <w:jc w:val="center"/>
      </w:pPr>
      <w:r>
        <w:rPr>
          <w:b/>
          <w:bCs/>
          <w:sz w:val="26"/>
          <w:szCs w:val="26"/>
        </w:rPr>
        <w:t>PARECER JURÍDICO</w:t>
      </w:r>
    </w:p>
    <w:p w14:paraId="68EC2786" w14:textId="77777777" w:rsidR="00210214" w:rsidRDefault="00000000">
      <w:pPr>
        <w:spacing w:after="360"/>
        <w:jc w:val="center"/>
      </w:pPr>
      <w:r>
        <w:rPr>
          <w:b/>
          <w:bCs/>
        </w:rPr>
        <w:t>Distribuição de lucros por sociedade com débitos tributários federais. Alcance do art. 32 da Lei nº 4.357/1964 após o julgamento da ADI 5.161 pelo STF</w:t>
      </w:r>
    </w:p>
    <w:p w14:paraId="46B51E64" w14:textId="77777777" w:rsidR="00210214" w:rsidRDefault="00000000">
      <w:pPr>
        <w:spacing w:before="480" w:after="360"/>
      </w:pPr>
      <w:r>
        <w:rPr>
          <w:b/>
          <w:bCs/>
          <w:sz w:val="26"/>
          <w:szCs w:val="26"/>
        </w:rPr>
        <w:t>I. Questão apresentada</w:t>
      </w:r>
    </w:p>
    <w:p w14:paraId="2D5BAC95" w14:textId="6BAEAD84" w:rsidR="00210214" w:rsidRDefault="00A44AC4">
      <w:pPr>
        <w:spacing w:after="160" w:line="276" w:lineRule="auto"/>
        <w:jc w:val="both"/>
      </w:pPr>
      <w:r w:rsidRPr="00A44AC4">
        <w:t>Elaboramos parecer</w:t>
      </w:r>
      <w:r w:rsidR="00000000">
        <w:t xml:space="preserve"> sobre a possibilidade de uma sociedade que possui débitos tributários federais distribuir lucros aos seus sócios sem se sujeitar à multa do art. 32 da Lei nº 4.357/1964, considerando o julgamento da ADI 5.161 pelo Supremo Tribunal Federal, cujo resultado ainda não foi proclamado nem publicado.</w:t>
      </w:r>
    </w:p>
    <w:p w14:paraId="30F8AA32" w14:textId="77777777" w:rsidR="00210214" w:rsidRDefault="00000000">
      <w:pPr>
        <w:spacing w:after="160" w:line="276" w:lineRule="auto"/>
        <w:jc w:val="both"/>
      </w:pPr>
      <w:r>
        <w:t>Em especial, pede-se exame do entendimento que se formou no Tribunal quanto à exigência de que o débito esteja inscrito em dívida ativa e não garantido para que a restrição possa ser aplicada.</w:t>
      </w:r>
    </w:p>
    <w:p w14:paraId="4EA60061" w14:textId="77777777" w:rsidR="00210214" w:rsidRDefault="00000000">
      <w:pPr>
        <w:spacing w:before="480" w:after="360"/>
      </w:pPr>
      <w:r>
        <w:rPr>
          <w:b/>
          <w:bCs/>
          <w:sz w:val="26"/>
          <w:szCs w:val="26"/>
        </w:rPr>
        <w:t>II. Comentários jurídicos</w:t>
      </w:r>
    </w:p>
    <w:p w14:paraId="51695644" w14:textId="77777777" w:rsidR="00210214" w:rsidRDefault="00000000">
      <w:pPr>
        <w:spacing w:after="160" w:line="276" w:lineRule="auto"/>
        <w:jc w:val="both"/>
      </w:pPr>
      <w:r>
        <w:rPr>
          <w:b/>
          <w:bCs/>
        </w:rPr>
        <w:t>1. A norma questionada</w:t>
      </w:r>
    </w:p>
    <w:p w14:paraId="511F3E0D" w14:textId="77777777" w:rsidR="00210214" w:rsidRDefault="00000000">
      <w:pPr>
        <w:spacing w:after="160" w:line="276" w:lineRule="auto"/>
        <w:jc w:val="both"/>
      </w:pPr>
      <w:r>
        <w:t>O art. 32 da Lei nº 4.357/1964, na redação da Lei nº 11.051/2004, dispõe:</w:t>
      </w:r>
    </w:p>
    <w:p w14:paraId="4501B90C" w14:textId="77777777" w:rsidR="00A44AC4" w:rsidRDefault="00000000">
      <w:pPr>
        <w:spacing w:after="160" w:line="276" w:lineRule="auto"/>
        <w:ind w:left="1133" w:right="1133"/>
        <w:jc w:val="both"/>
        <w:rPr>
          <w:i/>
          <w:iCs/>
        </w:rPr>
      </w:pPr>
      <w:r>
        <w:rPr>
          <w:i/>
          <w:iCs/>
        </w:rPr>
        <w:t xml:space="preserve">Art. 32. As pessoas jurídicas, enquanto estiverem em débito, não garantido, por falta de recolhimento de imposto no prazo legal, não poderão: </w:t>
      </w:r>
    </w:p>
    <w:p w14:paraId="76142461" w14:textId="77777777" w:rsidR="00A44AC4" w:rsidRDefault="00000000">
      <w:pPr>
        <w:spacing w:after="160" w:line="276" w:lineRule="auto"/>
        <w:ind w:left="1133" w:right="1133"/>
        <w:jc w:val="both"/>
        <w:rPr>
          <w:i/>
          <w:iCs/>
        </w:rPr>
      </w:pPr>
      <w:r>
        <w:rPr>
          <w:i/>
          <w:iCs/>
        </w:rPr>
        <w:t xml:space="preserve">a) distribuir quaisquer bonificações a seus acionistas; </w:t>
      </w:r>
    </w:p>
    <w:p w14:paraId="789423EB" w14:textId="77777777" w:rsidR="00A44AC4" w:rsidRDefault="00000000">
      <w:pPr>
        <w:spacing w:after="160" w:line="276" w:lineRule="auto"/>
        <w:ind w:left="1133" w:right="1133"/>
        <w:jc w:val="both"/>
        <w:rPr>
          <w:i/>
          <w:iCs/>
        </w:rPr>
      </w:pPr>
      <w:r>
        <w:rPr>
          <w:i/>
          <w:iCs/>
        </w:rPr>
        <w:t xml:space="preserve">b) dar ou atribuir participação de lucros a seus sócios ou quotistas, bem como a seus diretores e demais membros de órgãos dirigentes, fiscais ou consultivos. </w:t>
      </w:r>
    </w:p>
    <w:p w14:paraId="4A3997AF" w14:textId="77777777" w:rsidR="00A44AC4" w:rsidRDefault="00000000">
      <w:pPr>
        <w:spacing w:after="160" w:line="276" w:lineRule="auto"/>
        <w:ind w:left="1133" w:right="1133"/>
        <w:jc w:val="both"/>
        <w:rPr>
          <w:i/>
          <w:iCs/>
        </w:rPr>
      </w:pPr>
      <w:r>
        <w:rPr>
          <w:i/>
          <w:iCs/>
        </w:rPr>
        <w:t xml:space="preserve">§ 1º A inobservância do disposto neste artigo importa em multa que será imposta: </w:t>
      </w:r>
    </w:p>
    <w:p w14:paraId="3B5178FB" w14:textId="77777777" w:rsidR="00A44AC4" w:rsidRDefault="00000000">
      <w:pPr>
        <w:spacing w:after="160" w:line="276" w:lineRule="auto"/>
        <w:ind w:left="1133" w:right="1133"/>
        <w:jc w:val="both"/>
        <w:rPr>
          <w:i/>
          <w:iCs/>
        </w:rPr>
      </w:pPr>
      <w:r>
        <w:rPr>
          <w:i/>
          <w:iCs/>
        </w:rPr>
        <w:t xml:space="preserve">I – </w:t>
      </w:r>
      <w:proofErr w:type="gramStart"/>
      <w:r>
        <w:rPr>
          <w:i/>
          <w:iCs/>
        </w:rPr>
        <w:t>às</w:t>
      </w:r>
      <w:proofErr w:type="gramEnd"/>
      <w:r>
        <w:rPr>
          <w:i/>
          <w:iCs/>
        </w:rPr>
        <w:t xml:space="preserve"> pessoas jurídicas que distribuírem ou pagarem bonificações ou remunerações, em montante igual a 50% das quantias distribuídas ou pagas indevidamente; e </w:t>
      </w:r>
    </w:p>
    <w:p w14:paraId="38E45EA4" w14:textId="77777777" w:rsidR="00A44AC4" w:rsidRDefault="00000000">
      <w:pPr>
        <w:spacing w:after="160" w:line="276" w:lineRule="auto"/>
        <w:ind w:left="1133" w:right="1133"/>
        <w:jc w:val="both"/>
        <w:rPr>
          <w:i/>
          <w:iCs/>
        </w:rPr>
      </w:pPr>
      <w:r>
        <w:rPr>
          <w:i/>
          <w:iCs/>
        </w:rPr>
        <w:lastRenderedPageBreak/>
        <w:t xml:space="preserve">II – </w:t>
      </w:r>
      <w:proofErr w:type="gramStart"/>
      <w:r>
        <w:rPr>
          <w:i/>
          <w:iCs/>
        </w:rPr>
        <w:t>aos</w:t>
      </w:r>
      <w:proofErr w:type="gramEnd"/>
      <w:r>
        <w:rPr>
          <w:i/>
          <w:iCs/>
        </w:rPr>
        <w:t xml:space="preserve"> diretores e demais membros da administração superior que receberem as importâncias indevidas, em montante igual a 50% dessas importâncias. </w:t>
      </w:r>
    </w:p>
    <w:p w14:paraId="369C6046" w14:textId="3F9B038F" w:rsidR="00210214" w:rsidRDefault="00000000">
      <w:pPr>
        <w:spacing w:after="160" w:line="276" w:lineRule="auto"/>
        <w:ind w:left="1133" w:right="1133"/>
        <w:jc w:val="both"/>
      </w:pPr>
      <w:r>
        <w:rPr>
          <w:i/>
          <w:iCs/>
        </w:rPr>
        <w:t>§ 2º A multa referida nos incisos I e II do § 1º fica limitada, respectivamente, a 50% do valor total do débito não garantido da pessoa jurídica.</w:t>
      </w:r>
    </w:p>
    <w:p w14:paraId="694747B1" w14:textId="77777777" w:rsidR="00A44AC4" w:rsidRDefault="00000000">
      <w:pPr>
        <w:spacing w:after="160" w:line="276" w:lineRule="auto"/>
        <w:jc w:val="both"/>
      </w:pPr>
      <w:r>
        <w:t xml:space="preserve">O art. 52 da Lei nº 8.212/1991 estende a mesma regra às empresas em débito não garantido com a União, o que alcança as contribuições previdenciárias. </w:t>
      </w:r>
    </w:p>
    <w:p w14:paraId="28263852" w14:textId="2C0F7D51" w:rsidR="00210214" w:rsidRDefault="00000000">
      <w:pPr>
        <w:spacing w:after="160" w:line="276" w:lineRule="auto"/>
        <w:jc w:val="both"/>
      </w:pPr>
      <w:r>
        <w:t>A consequência da infração é pecuniária: a distribuição não é nula, mas a sociedade e os beneficiários ficam expostos à multa de 50%, limitada a 50% do débito não garantido.</w:t>
      </w:r>
    </w:p>
    <w:p w14:paraId="15E748E0" w14:textId="77777777" w:rsidR="00A44AC4" w:rsidRDefault="00000000">
      <w:pPr>
        <w:spacing w:after="160" w:line="276" w:lineRule="auto"/>
        <w:jc w:val="both"/>
      </w:pPr>
      <w:r>
        <w:t xml:space="preserve">Na prática administrativa, a expressão “em débito” tem sido lida de forma ampla, de modo a alcançar qualquer valor declarado e não pago, inscrito ou não, em discussão ou não. </w:t>
      </w:r>
    </w:p>
    <w:p w14:paraId="5D4B61ED" w14:textId="6E964523" w:rsidR="00210214" w:rsidRDefault="00000000">
      <w:pPr>
        <w:spacing w:after="160" w:line="276" w:lineRule="auto"/>
        <w:jc w:val="both"/>
      </w:pPr>
      <w:r>
        <w:t>Essa leitura é a origem do problema: qualquer pendência fiscal, ainda que controvertida, bastaria para travar a distribuição de resultados.</w:t>
      </w:r>
    </w:p>
    <w:p w14:paraId="2FF8AD85" w14:textId="77777777" w:rsidR="00210214" w:rsidRDefault="00000000">
      <w:pPr>
        <w:spacing w:after="160" w:line="276" w:lineRule="auto"/>
        <w:jc w:val="both"/>
      </w:pPr>
      <w:r>
        <w:rPr>
          <w:b/>
          <w:bCs/>
        </w:rPr>
        <w:t>2. A vedação de sanções políticas</w:t>
      </w:r>
    </w:p>
    <w:p w14:paraId="72259AC9" w14:textId="77777777" w:rsidR="00210214" w:rsidRDefault="00000000">
      <w:pPr>
        <w:spacing w:after="160" w:line="276" w:lineRule="auto"/>
        <w:jc w:val="both"/>
      </w:pPr>
      <w:r>
        <w:t>O STF há muito repele os meios indiretos de cobrança de tributo, conforme as Súmulas 70, 323 e 547. Na ADI 173 e na ADI 394 (Rel. Min. Joaquim Barbosa, j. 25/09/2008), o Tribunal reafirmou que o Fisco dispõe da execução fiscal e das garantias do crédito tributário, não podendo restringir a atividade econômica como forma de coerção ao pagamento.</w:t>
      </w:r>
    </w:p>
    <w:p w14:paraId="27AFF833" w14:textId="77777777" w:rsidR="00210214" w:rsidRDefault="00000000">
      <w:pPr>
        <w:spacing w:after="160" w:line="276" w:lineRule="auto"/>
        <w:jc w:val="both"/>
      </w:pPr>
      <w:r>
        <w:t>Foi com base nessa orientação que o Conselho Federal da OAB propôs a ADI 5.161, sustentando que a proibição de distribuir lucros, sob pena de multa, ofende a livre iniciativa, o devido processo legal e a proporcionalidade.</w:t>
      </w:r>
    </w:p>
    <w:p w14:paraId="24D174A7" w14:textId="77777777" w:rsidR="00210214" w:rsidRDefault="00000000">
      <w:pPr>
        <w:spacing w:after="160" w:line="276" w:lineRule="auto"/>
        <w:jc w:val="both"/>
      </w:pPr>
      <w:r>
        <w:rPr>
          <w:b/>
          <w:bCs/>
        </w:rPr>
        <w:t>3. O julgamento da ADI 5.161</w:t>
      </w:r>
    </w:p>
    <w:p w14:paraId="07EFC98A" w14:textId="77777777" w:rsidR="00A44AC4" w:rsidRDefault="00000000">
      <w:pPr>
        <w:spacing w:after="160" w:line="276" w:lineRule="auto"/>
        <w:jc w:val="both"/>
      </w:pPr>
      <w:r>
        <w:t xml:space="preserve">O julgamento iniciou-se em 01/08/2025 com o voto do Relator, Min. Luís Roberto Barroso, e foi interrompido por dois pedidos de vista (Min. Flávio Dino e Min. Alexandre de Moraes). </w:t>
      </w:r>
    </w:p>
    <w:p w14:paraId="22715613" w14:textId="77777777" w:rsidR="00A44AC4" w:rsidRDefault="00000000">
      <w:pPr>
        <w:spacing w:after="160" w:line="276" w:lineRule="auto"/>
        <w:jc w:val="both"/>
      </w:pPr>
      <w:r>
        <w:t xml:space="preserve">Retomado em plenário virtual entre 19 e 26 de junho de 2026, encerrou-se a colheita de votos, mas o resultado foi suspenso para posterior proclamação. </w:t>
      </w:r>
    </w:p>
    <w:p w14:paraId="20377A96" w14:textId="77777777" w:rsidR="00A44AC4" w:rsidRDefault="00000000">
      <w:pPr>
        <w:spacing w:after="160" w:line="276" w:lineRule="auto"/>
        <w:jc w:val="both"/>
      </w:pPr>
      <w:r>
        <w:t xml:space="preserve">As sessões designadas para 06/08, 09/09 e 10/09/2026 foram canceladas, e não há nova data. </w:t>
      </w:r>
    </w:p>
    <w:p w14:paraId="1274E005" w14:textId="70FFCBB9" w:rsidR="00210214" w:rsidRDefault="00000000">
      <w:pPr>
        <w:spacing w:after="160" w:line="276" w:lineRule="auto"/>
        <w:jc w:val="both"/>
      </w:pPr>
      <w:r>
        <w:lastRenderedPageBreak/>
        <w:t>Portanto, não há resultado proclamado, nem acórdão publicado.</w:t>
      </w:r>
    </w:p>
    <w:p w14:paraId="76989B24" w14:textId="77777777" w:rsidR="00A44AC4" w:rsidRDefault="00000000">
      <w:pPr>
        <w:spacing w:after="160" w:line="276" w:lineRule="auto"/>
        <w:jc w:val="both"/>
      </w:pPr>
      <w:r>
        <w:t xml:space="preserve">Os votos dividiram-se em três correntes. </w:t>
      </w:r>
    </w:p>
    <w:p w14:paraId="63D404E0" w14:textId="77777777" w:rsidR="00A44AC4" w:rsidRDefault="00000000">
      <w:pPr>
        <w:spacing w:after="160" w:line="276" w:lineRule="auto"/>
        <w:jc w:val="both"/>
      </w:pPr>
      <w:r w:rsidRPr="00A44AC4">
        <w:rPr>
          <w:b/>
          <w:bCs/>
          <w:u w:val="single"/>
        </w:rPr>
        <w:t>A primeira,</w:t>
      </w:r>
      <w:r>
        <w:t xml:space="preserve"> do Relator, acompanhada pelos Ministros Alexandre de Moraes, Luiz Fux e Nunes Marques, dá interpretação conforme à Constituição para que a multa somente incida quando o devedor não houver reservado bens ou rendas suficientes ao pagamento integral da dívida. </w:t>
      </w:r>
    </w:p>
    <w:p w14:paraId="28C2DFE2" w14:textId="2D1398A7" w:rsidR="00210214" w:rsidRDefault="00000000">
      <w:pPr>
        <w:spacing w:after="160" w:line="276" w:lineRule="auto"/>
        <w:jc w:val="both"/>
      </w:pPr>
      <w:r w:rsidRPr="00A44AC4">
        <w:rPr>
          <w:b/>
          <w:bCs/>
          <w:u w:val="single"/>
        </w:rPr>
        <w:t>A segunda</w:t>
      </w:r>
      <w:r>
        <w:t xml:space="preserve">, do Min. Flávio Dino, seguida pela Min. </w:t>
      </w:r>
      <w:proofErr w:type="spellStart"/>
      <w:r>
        <w:t>Cármen</w:t>
      </w:r>
      <w:proofErr w:type="spellEnd"/>
      <w:r>
        <w:t xml:space="preserve"> Lúcia, julga a ação improcedente, por entender que a norma protege o crédito público sem impedir a atividade empresarial.</w:t>
      </w:r>
    </w:p>
    <w:p w14:paraId="44616597" w14:textId="77777777" w:rsidR="00A44AC4" w:rsidRDefault="00000000">
      <w:pPr>
        <w:spacing w:after="160" w:line="276" w:lineRule="auto"/>
        <w:jc w:val="both"/>
      </w:pPr>
      <w:r w:rsidRPr="00A44AC4">
        <w:rPr>
          <w:b/>
          <w:bCs/>
          <w:u w:val="single"/>
        </w:rPr>
        <w:t>A terceira</w:t>
      </w:r>
      <w:r>
        <w:t xml:space="preserve"> corrente, aberta pelo Min. Cristiano Zanin e acompanhada pelos Ministros Dias Toffoli, Edson Fachin, André Mendonça e Gilmar Mendes, reúne cinco votos e é a mais numerosa. </w:t>
      </w:r>
    </w:p>
    <w:p w14:paraId="2EFC3428" w14:textId="77777777" w:rsidR="00A44AC4" w:rsidRDefault="00000000">
      <w:pPr>
        <w:spacing w:after="160" w:line="276" w:lineRule="auto"/>
        <w:jc w:val="both"/>
      </w:pPr>
      <w:r>
        <w:t xml:space="preserve">Também confere interpretação conforme, mas com critério objetivo: a restrição e a multa só se aplicam quando, cumulativamente, </w:t>
      </w:r>
    </w:p>
    <w:p w14:paraId="19D08357" w14:textId="77777777" w:rsidR="00A44AC4" w:rsidRDefault="00000000" w:rsidP="00A44AC4">
      <w:pPr>
        <w:pStyle w:val="PargrafodaLista"/>
        <w:numPr>
          <w:ilvl w:val="0"/>
          <w:numId w:val="2"/>
        </w:numPr>
        <w:spacing w:after="160" w:line="276" w:lineRule="auto"/>
        <w:jc w:val="both"/>
      </w:pPr>
      <w:r>
        <w:t xml:space="preserve">o crédito tributário estiver definitivamente constituído e inscrito em dívida ativa; </w:t>
      </w:r>
    </w:p>
    <w:p w14:paraId="1BC0647A" w14:textId="25B03CCF" w:rsidR="00A44AC4" w:rsidRDefault="00000000" w:rsidP="00A44AC4">
      <w:pPr>
        <w:pStyle w:val="PargrafodaLista"/>
        <w:numPr>
          <w:ilvl w:val="0"/>
          <w:numId w:val="2"/>
        </w:numPr>
        <w:spacing w:after="160" w:line="276" w:lineRule="auto"/>
        <w:jc w:val="both"/>
      </w:pPr>
      <w:r>
        <w:t>n</w:t>
      </w:r>
      <w:proofErr w:type="spellStart"/>
      <w:r>
        <w:t>ão</w:t>
      </w:r>
      <w:proofErr w:type="spellEnd"/>
      <w:r>
        <w:t xml:space="preserve"> houver causa de suspensão da exigibilidade (art. 151 do CTN); e </w:t>
      </w:r>
    </w:p>
    <w:p w14:paraId="2676B9C1" w14:textId="77777777" w:rsidR="00A44AC4" w:rsidRDefault="00000000" w:rsidP="00A44AC4">
      <w:pPr>
        <w:pStyle w:val="PargrafodaLista"/>
        <w:numPr>
          <w:ilvl w:val="0"/>
          <w:numId w:val="2"/>
        </w:numPr>
        <w:spacing w:after="160" w:line="276" w:lineRule="auto"/>
        <w:jc w:val="both"/>
      </w:pPr>
      <w:r>
        <w:t xml:space="preserve">o débito não estiver garantido por depósito, fiança, seguro ou penhora. </w:t>
      </w:r>
    </w:p>
    <w:p w14:paraId="0B404D26" w14:textId="77777777" w:rsidR="00A44AC4" w:rsidRDefault="00A44AC4" w:rsidP="00A44AC4">
      <w:pPr>
        <w:pStyle w:val="PargrafodaLista"/>
        <w:spacing w:after="160" w:line="276" w:lineRule="auto"/>
        <w:ind w:left="1080"/>
        <w:jc w:val="both"/>
      </w:pPr>
    </w:p>
    <w:p w14:paraId="5713A031" w14:textId="33C0EC91" w:rsidR="00210214" w:rsidRDefault="00000000" w:rsidP="00A44AC4">
      <w:pPr>
        <w:spacing w:after="160" w:line="276" w:lineRule="auto"/>
        <w:jc w:val="both"/>
      </w:pPr>
      <w:r>
        <w:t>O voto afasta expressamente a leitura que toma a mera provisão contábil ou o débito apenas declarado como suficiente para deflagrar a penalidade.</w:t>
      </w:r>
    </w:p>
    <w:p w14:paraId="78FF5A53" w14:textId="77777777" w:rsidR="00A44AC4" w:rsidRDefault="00000000">
      <w:pPr>
        <w:spacing w:after="160" w:line="276" w:lineRule="auto"/>
        <w:jc w:val="both"/>
      </w:pPr>
      <w:r>
        <w:t xml:space="preserve">O placar de 5 x 4 x 2 explica a demora na proclamação: nenhuma corrente alcançou seis votos, e o Tribunal precisará extrair o voto médio. </w:t>
      </w:r>
    </w:p>
    <w:p w14:paraId="640AA446" w14:textId="77777777" w:rsidR="00A44AC4" w:rsidRDefault="00000000">
      <w:pPr>
        <w:spacing w:after="160" w:line="276" w:lineRule="auto"/>
        <w:jc w:val="both"/>
      </w:pPr>
      <w:r>
        <w:t xml:space="preserve">O ponto relevante, contudo, é que nove dos onze Ministros rejeitaram a leitura ampla da norma. </w:t>
      </w:r>
    </w:p>
    <w:p w14:paraId="26F54F65" w14:textId="773915EA" w:rsidR="00210214" w:rsidRDefault="00000000">
      <w:pPr>
        <w:spacing w:after="160" w:line="276" w:lineRule="auto"/>
        <w:jc w:val="both"/>
      </w:pPr>
      <w:r>
        <w:t>O denominador comum entre a primeira e a terceira correntes é claro: a simples existência de débito não autoriza a multa; ela pressupõe crédito exigível e desprotegido, seja porque não garantido, seja porque não há bens reservados ao seu pagamento.</w:t>
      </w:r>
    </w:p>
    <w:p w14:paraId="2BF39622" w14:textId="77777777" w:rsidR="00210214" w:rsidRDefault="00000000">
      <w:pPr>
        <w:spacing w:after="160" w:line="276" w:lineRule="auto"/>
        <w:jc w:val="both"/>
      </w:pPr>
      <w:r>
        <w:rPr>
          <w:b/>
          <w:bCs/>
        </w:rPr>
        <w:t>4. O que significa débito inscrito e não garantido</w:t>
      </w:r>
    </w:p>
    <w:p w14:paraId="3AD351EC" w14:textId="77777777" w:rsidR="00210214" w:rsidRDefault="00000000">
      <w:pPr>
        <w:spacing w:after="160" w:line="276" w:lineRule="auto"/>
        <w:jc w:val="both"/>
      </w:pPr>
      <w:r>
        <w:t xml:space="preserve">Inscrito é o crédito que, após o lançamento e o esgotamento da fase administrativa, foi registrado na dívida ativa pela PGFN (art. 201 do CTN e art. 2º da Lei nº 6.830/1980). </w:t>
      </w:r>
      <w:r>
        <w:lastRenderedPageBreak/>
        <w:t>Débito apenas declarado em DCTF, auto de infração ainda em julgamento no CARF ou valor controvertido em processo administrativo não preenchem esse requisito.</w:t>
      </w:r>
    </w:p>
    <w:p w14:paraId="2CF0477B" w14:textId="77777777" w:rsidR="00A44AC4" w:rsidRDefault="00000000">
      <w:pPr>
        <w:spacing w:after="160" w:line="276" w:lineRule="auto"/>
        <w:jc w:val="both"/>
      </w:pPr>
      <w:r>
        <w:t xml:space="preserve">Garantido é o débito acobertado por depósito integral, fiança bancária, seguro garantia ou penhora aceita nos autos da execução (art. 9º da Lei nº 6.830/1980). </w:t>
      </w:r>
    </w:p>
    <w:p w14:paraId="3EF35C5B" w14:textId="77777777" w:rsidR="00A44AC4" w:rsidRDefault="00000000">
      <w:pPr>
        <w:spacing w:after="160" w:line="276" w:lineRule="auto"/>
        <w:jc w:val="both"/>
      </w:pPr>
      <w:r>
        <w:t xml:space="preserve">Somam-se a isso as hipóteses de suspensão da exigibilidade do art. 151 do CTN, entre elas o parcelamento e a tutela judicial. </w:t>
      </w:r>
    </w:p>
    <w:p w14:paraId="57FA8DB8" w14:textId="18F30AD5" w:rsidR="00210214" w:rsidRDefault="00000000">
      <w:pPr>
        <w:spacing w:after="160" w:line="276" w:lineRule="auto"/>
        <w:jc w:val="both"/>
      </w:pPr>
      <w:r>
        <w:t>Em qualquer dessas situações o crédito está protegido ou não pode ser cobrado, e a multa não tem por que incidir.</w:t>
      </w:r>
    </w:p>
    <w:p w14:paraId="421BB485" w14:textId="77777777" w:rsidR="00210214" w:rsidRDefault="00000000">
      <w:pPr>
        <w:spacing w:after="160" w:line="276" w:lineRule="auto"/>
        <w:jc w:val="both"/>
      </w:pPr>
      <w:r>
        <w:rPr>
          <w:b/>
          <w:bCs/>
        </w:rPr>
        <w:t>5. Cautelas enquanto o acórdão não é publicado</w:t>
      </w:r>
    </w:p>
    <w:p w14:paraId="1B0AF5B3" w14:textId="77777777" w:rsidR="00A44AC4" w:rsidRDefault="00000000">
      <w:pPr>
        <w:spacing w:after="160" w:line="276" w:lineRule="auto"/>
        <w:jc w:val="both"/>
      </w:pPr>
      <w:r>
        <w:t xml:space="preserve">A eficácia vinculante das decisões em controle concentrado depende da proclamação do resultado e da publicação da ata de julgamento (art. 28 da Lei nº 9.868/1999). </w:t>
      </w:r>
    </w:p>
    <w:p w14:paraId="3BE922A4" w14:textId="192AD3C5" w:rsidR="00210214" w:rsidRDefault="00000000">
      <w:pPr>
        <w:spacing w:after="160" w:line="276" w:lineRule="auto"/>
        <w:jc w:val="both"/>
      </w:pPr>
      <w:r>
        <w:t>Até lá, a Receita Federal permanece formalmente autorizada a aplicar a norma na leitura ampla, ainda que a autuação tenha baixa chance de sobreviver ao contencioso, diante da posição já revelada pela ampla maioria da Corte.</w:t>
      </w:r>
    </w:p>
    <w:p w14:paraId="75791EE9" w14:textId="77777777" w:rsidR="00A44AC4" w:rsidRDefault="00000000">
      <w:pPr>
        <w:spacing w:after="160" w:line="276" w:lineRule="auto"/>
        <w:jc w:val="both"/>
      </w:pPr>
      <w:r>
        <w:t xml:space="preserve">Por isso, recomendamos que a deliberação de distribuição seja documentada em ata, com a verificação, na data do ato, da situação fiscal da sociedade: certidão negativa ou positiva com efeitos de negativa, relação dos débitos inscritos e comprovação das garantias ou parcelamentos existentes. </w:t>
      </w:r>
    </w:p>
    <w:p w14:paraId="79E2BCA0" w14:textId="0E80924C" w:rsidR="00210214" w:rsidRDefault="00000000">
      <w:pPr>
        <w:spacing w:after="160" w:line="276" w:lineRule="auto"/>
        <w:jc w:val="both"/>
      </w:pPr>
      <w:r>
        <w:t>Se houver débito inscrito, exigível e sem garantia, a alternativa segura é garanti-lo ou parcelá-lo antes de distribuir.</w:t>
      </w:r>
    </w:p>
    <w:p w14:paraId="0A6B382B" w14:textId="77777777" w:rsidR="00210214" w:rsidRDefault="00000000">
      <w:pPr>
        <w:spacing w:before="480" w:after="360"/>
      </w:pPr>
      <w:r>
        <w:rPr>
          <w:b/>
          <w:bCs/>
          <w:sz w:val="26"/>
          <w:szCs w:val="26"/>
        </w:rPr>
        <w:t>III. Conclusão</w:t>
      </w:r>
    </w:p>
    <w:p w14:paraId="4E568EA1" w14:textId="25D2D8DF" w:rsidR="00210214" w:rsidRDefault="00A44AC4">
      <w:pPr>
        <w:spacing w:after="160" w:line="276" w:lineRule="auto"/>
        <w:jc w:val="both"/>
      </w:pPr>
      <w:r>
        <w:t>Nesse sentido somos da opinião de que</w:t>
      </w:r>
      <w:r w:rsidR="00000000">
        <w:t>:</w:t>
      </w:r>
    </w:p>
    <w:p w14:paraId="69AA9B7D" w14:textId="77777777" w:rsidR="00210214" w:rsidRDefault="00000000">
      <w:pPr>
        <w:spacing w:after="160" w:line="276" w:lineRule="auto"/>
        <w:jc w:val="both"/>
      </w:pPr>
      <w:r>
        <w:t xml:space="preserve">a) A existência de débitos tributários federais, por si só, </w:t>
      </w:r>
      <w:r w:rsidRPr="00A44AC4">
        <w:rPr>
          <w:b/>
          <w:bCs/>
          <w:u w:val="single"/>
        </w:rPr>
        <w:t>não impede a distribuição de lucros.</w:t>
      </w:r>
      <w:r>
        <w:t xml:space="preserve"> A restrição do art. 32 da Lei nº 4.357/1964, segundo a corrente majoritária formada na ADI 5.161, só alcança o débito definitivamente constituído, inscrito em dívida ativa, com exigibilidade não suspensa e sem garantia.</w:t>
      </w:r>
    </w:p>
    <w:p w14:paraId="511C04EB" w14:textId="77777777" w:rsidR="00210214" w:rsidRDefault="00000000">
      <w:pPr>
        <w:spacing w:after="160" w:line="276" w:lineRule="auto"/>
        <w:jc w:val="both"/>
      </w:pPr>
      <w:r>
        <w:t xml:space="preserve">b) Débitos apenas declarados, em discussão administrativa ou judicial, parcelados, depositados ou garantidos por fiança, seguro ou penhora </w:t>
      </w:r>
      <w:r w:rsidRPr="00A44AC4">
        <w:rPr>
          <w:b/>
          <w:bCs/>
          <w:u w:val="single"/>
        </w:rPr>
        <w:t>não atraem a vedação nem a multa</w:t>
      </w:r>
      <w:r>
        <w:t>. Nessas hipóteses a sociedade pode distribuir lucros.</w:t>
      </w:r>
    </w:p>
    <w:p w14:paraId="3AF58489" w14:textId="77777777" w:rsidR="00210214" w:rsidRDefault="00000000">
      <w:pPr>
        <w:spacing w:after="160" w:line="276" w:lineRule="auto"/>
        <w:jc w:val="both"/>
      </w:pPr>
      <w:r>
        <w:t xml:space="preserve">c) Havendo débito inscrito, exigível e sem garantia, a distribuição continua sujeita à multa de 50%, limitada a 50% do débito não garantido, tanto para a sociedade quanto </w:t>
      </w:r>
      <w:r>
        <w:lastRenderedPageBreak/>
        <w:t>para os beneficiários. A providência adequada é garantir ou parcelar o débito antes da deliberação.</w:t>
      </w:r>
    </w:p>
    <w:p w14:paraId="77EA5B73" w14:textId="77777777" w:rsidR="00210214" w:rsidRDefault="00000000">
      <w:pPr>
        <w:spacing w:after="160" w:line="276" w:lineRule="auto"/>
        <w:jc w:val="both"/>
      </w:pPr>
      <w:r>
        <w:t>d) Como o resultado ainda não foi proclamado nem publicado, a orientação acima traduz o entendimento já manifestado por nove Ministros, mas não tem, por ora, eficácia vinculante. Distribuições feitas nesse intervalo devem ser lastreadas em ata e em documentação da situação fiscal, para eventual defesa.</w:t>
      </w:r>
    </w:p>
    <w:p w14:paraId="74C34941" w14:textId="77777777" w:rsidR="00210214" w:rsidRDefault="00000000">
      <w:pPr>
        <w:spacing w:after="480"/>
        <w:jc w:val="both"/>
      </w:pPr>
      <w:r>
        <w:t>É o parecer.</w:t>
      </w:r>
    </w:p>
    <w:p w14:paraId="02DE33D6" w14:textId="77777777" w:rsidR="00210214" w:rsidRDefault="00000000">
      <w:pPr>
        <w:jc w:val="center"/>
      </w:pPr>
      <w:r>
        <w:t>Piraci Oliveira</w:t>
      </w:r>
    </w:p>
    <w:p w14:paraId="2177378A" w14:textId="77777777" w:rsidR="00210214" w:rsidRDefault="00000000">
      <w:pPr>
        <w:jc w:val="center"/>
      </w:pPr>
      <w:r>
        <w:t>OAB/SP 200.270</w:t>
      </w:r>
    </w:p>
    <w:sectPr w:rsidR="002102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3" w:left="1417" w:header="453" w:footer="4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360983" w14:textId="77777777" w:rsidR="00B7142A" w:rsidRDefault="00B7142A">
      <w:r>
        <w:separator/>
      </w:r>
    </w:p>
  </w:endnote>
  <w:endnote w:type="continuationSeparator" w:id="0">
    <w:p w14:paraId="72FB9996" w14:textId="77777777" w:rsidR="00B7142A" w:rsidRDefault="00B7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476A35" w14:textId="77777777" w:rsidR="00A44AC4" w:rsidRDefault="00A44AC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025213" w14:textId="77777777" w:rsidR="00210214" w:rsidRDefault="00000000">
    <w:pPr>
      <w:pBdr>
        <w:top w:val="single" w:sz="6" w:space="4" w:color="999999"/>
      </w:pBdr>
      <w:jc w:val="center"/>
    </w:pPr>
    <w:proofErr w:type="gramStart"/>
    <w:r>
      <w:rPr>
        <w:color w:val="555555"/>
        <w:sz w:val="16"/>
        <w:szCs w:val="16"/>
      </w:rPr>
      <w:t>piraci@piraci.com.br  /</w:t>
    </w:r>
    <w:proofErr w:type="gramEnd"/>
    <w:r>
      <w:rPr>
        <w:color w:val="555555"/>
        <w:sz w:val="16"/>
        <w:szCs w:val="16"/>
      </w:rPr>
      <w:t xml:space="preserve">  </w:t>
    </w:r>
    <w:proofErr w:type="spellStart"/>
    <w:proofErr w:type="gramStart"/>
    <w:r>
      <w:rPr>
        <w:color w:val="555555"/>
        <w:sz w:val="16"/>
        <w:szCs w:val="16"/>
      </w:rPr>
      <w:t>piraciadv.blog</w:t>
    </w:r>
    <w:proofErr w:type="spellEnd"/>
    <w:proofErr w:type="gramEnd"/>
    <w:r>
      <w:rPr>
        <w:color w:val="555555"/>
        <w:sz w:val="16"/>
        <w:szCs w:val="16"/>
      </w:rPr>
      <w:t xml:space="preserve">  </w:t>
    </w:r>
    <w:proofErr w:type="gramStart"/>
    <w:r>
      <w:rPr>
        <w:color w:val="555555"/>
        <w:sz w:val="16"/>
        <w:szCs w:val="16"/>
      </w:rPr>
      <w:t xml:space="preserve">/  </w:t>
    </w:r>
    <w:proofErr w:type="spellStart"/>
    <w:r>
      <w:rPr>
        <w:color w:val="555555"/>
        <w:sz w:val="16"/>
        <w:szCs w:val="16"/>
      </w:rPr>
      <w:t>piracioliveira</w:t>
    </w:r>
    <w:proofErr w:type="spellEnd"/>
    <w:proofErr w:type="gramEnd"/>
    <w:r>
      <w:rPr>
        <w:color w:val="555555"/>
        <w:sz w:val="16"/>
        <w:szCs w:val="16"/>
      </w:rPr>
      <w:t xml:space="preserve"> (Instagram)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4D4054" w14:textId="77777777" w:rsidR="00A44AC4" w:rsidRDefault="00A44AC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6CC5BA" w14:textId="77777777" w:rsidR="00B7142A" w:rsidRDefault="00B7142A">
      <w:r>
        <w:separator/>
      </w:r>
    </w:p>
  </w:footnote>
  <w:footnote w:type="continuationSeparator" w:id="0">
    <w:p w14:paraId="40157A38" w14:textId="77777777" w:rsidR="00B7142A" w:rsidRDefault="00B71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2F1EA4" w14:textId="77777777" w:rsidR="00A44AC4" w:rsidRDefault="00A44AC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D72B6A" w14:textId="77777777" w:rsidR="00210214" w:rsidRDefault="00000000">
    <w:pPr>
      <w:jc w:val="center"/>
    </w:pPr>
    <w:r>
      <w:rPr>
        <w:b/>
        <w:bCs/>
        <w:color w:val="555555"/>
        <w:sz w:val="32"/>
        <w:szCs w:val="32"/>
      </w:rPr>
      <w:t>PIRACI OLIVEIRA</w:t>
    </w:r>
  </w:p>
  <w:p w14:paraId="34A94CBD" w14:textId="77777777" w:rsidR="00210214" w:rsidRDefault="00000000">
    <w:pPr>
      <w:pBdr>
        <w:bottom w:val="single" w:sz="6" w:space="4" w:color="999999"/>
      </w:pBdr>
      <w:spacing w:after="120"/>
      <w:jc w:val="center"/>
    </w:pPr>
    <w:r>
      <w:rPr>
        <w:color w:val="777777"/>
        <w:sz w:val="16"/>
        <w:szCs w:val="16"/>
      </w:rPr>
      <w:t>SOCIEDADE DE ADVOGADOS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25771A" w14:textId="77777777" w:rsidR="00A44AC4" w:rsidRDefault="00A44AC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C40C2A"/>
    <w:multiLevelType w:val="hybridMultilevel"/>
    <w:tmpl w:val="A99EBA00"/>
    <w:lvl w:ilvl="0" w:tplc="0AE8A40E">
      <w:start w:val="1"/>
      <w:numFmt w:val="bullet"/>
      <w:lvlText w:val="●"/>
      <w:lvlJc w:val="left"/>
      <w:pPr>
        <w:ind w:left="720" w:hanging="360"/>
      </w:pPr>
    </w:lvl>
    <w:lvl w:ilvl="1" w:tplc="492A2464">
      <w:start w:val="1"/>
      <w:numFmt w:val="bullet"/>
      <w:lvlText w:val="○"/>
      <w:lvlJc w:val="left"/>
      <w:pPr>
        <w:ind w:left="1440" w:hanging="360"/>
      </w:pPr>
    </w:lvl>
    <w:lvl w:ilvl="2" w:tplc="51963B32">
      <w:start w:val="1"/>
      <w:numFmt w:val="bullet"/>
      <w:lvlText w:val="■"/>
      <w:lvlJc w:val="left"/>
      <w:pPr>
        <w:ind w:left="2160" w:hanging="360"/>
      </w:pPr>
    </w:lvl>
    <w:lvl w:ilvl="3" w:tplc="5156E88C">
      <w:start w:val="1"/>
      <w:numFmt w:val="bullet"/>
      <w:lvlText w:val="●"/>
      <w:lvlJc w:val="left"/>
      <w:pPr>
        <w:ind w:left="2880" w:hanging="360"/>
      </w:pPr>
    </w:lvl>
    <w:lvl w:ilvl="4" w:tplc="DF50C030">
      <w:start w:val="1"/>
      <w:numFmt w:val="bullet"/>
      <w:lvlText w:val="○"/>
      <w:lvlJc w:val="left"/>
      <w:pPr>
        <w:ind w:left="3600" w:hanging="360"/>
      </w:pPr>
    </w:lvl>
    <w:lvl w:ilvl="5" w:tplc="7D545DD0">
      <w:start w:val="1"/>
      <w:numFmt w:val="bullet"/>
      <w:lvlText w:val="■"/>
      <w:lvlJc w:val="left"/>
      <w:pPr>
        <w:ind w:left="4320" w:hanging="360"/>
      </w:pPr>
    </w:lvl>
    <w:lvl w:ilvl="6" w:tplc="7B862D68">
      <w:start w:val="1"/>
      <w:numFmt w:val="bullet"/>
      <w:lvlText w:val="●"/>
      <w:lvlJc w:val="left"/>
      <w:pPr>
        <w:ind w:left="5040" w:hanging="360"/>
      </w:pPr>
    </w:lvl>
    <w:lvl w:ilvl="7" w:tplc="56BE3902">
      <w:start w:val="1"/>
      <w:numFmt w:val="bullet"/>
      <w:lvlText w:val="●"/>
      <w:lvlJc w:val="left"/>
      <w:pPr>
        <w:ind w:left="5760" w:hanging="360"/>
      </w:pPr>
    </w:lvl>
    <w:lvl w:ilvl="8" w:tplc="6624D77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E86350C"/>
    <w:multiLevelType w:val="hybridMultilevel"/>
    <w:tmpl w:val="A4085C2C"/>
    <w:lvl w:ilvl="0" w:tplc="1A021E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582763">
    <w:abstractNumId w:val="0"/>
    <w:lvlOverride w:ilvl="0">
      <w:startOverride w:val="1"/>
    </w:lvlOverride>
  </w:num>
  <w:num w:numId="2" w16cid:durableId="23763779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214"/>
    <w:rsid w:val="00210214"/>
    <w:rsid w:val="00733B87"/>
    <w:rsid w:val="00A44AC4"/>
    <w:rsid w:val="00B7142A"/>
    <w:rsid w:val="00E5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CE44D1"/>
  <w15:docId w15:val="{C8FC3EF4-CB0D-9744-9942-3D090741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Palatino Linotype" w:eastAsia="Palatino Linotype" w:hAnsi="Palatino Linotype" w:cs="Palatino Linotype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44A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4AC4"/>
  </w:style>
  <w:style w:type="paragraph" w:styleId="Rodap">
    <w:name w:val="footer"/>
    <w:basedOn w:val="Normal"/>
    <w:link w:val="RodapChar"/>
    <w:uiPriority w:val="99"/>
    <w:unhideWhenUsed/>
    <w:rsid w:val="00A44A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4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AB334D2-FF96-1440-B8E8-883EF2A21B66}">
  <we:reference id="wa200010453" version="1.0.0.1" store="pt-BR" storeType="OMEX"/>
  <we:alternateReferences>
    <we:reference id="wa200010453" version="1.0.0.1" store="pt-BR" storeType="OMEX"/>
  </we:alternateReferences>
  <we:properties>
    <we:property name="claude.fileId" value="&quot;fced4325-1664-43ec-aec7-900317fb8f49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1288</Words>
  <Characters>6740</Characters>
  <Application>Microsoft Office Word</Application>
  <DocSecurity>0</DocSecurity>
  <Lines>116</Lines>
  <Paragraphs>41</Paragraphs>
  <ScaleCrop>false</ScaleCrop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Piraci Oliveira</cp:lastModifiedBy>
  <cp:revision>3</cp:revision>
  <dcterms:created xsi:type="dcterms:W3CDTF">2026-09-12T19:08:00Z</dcterms:created>
  <dcterms:modified xsi:type="dcterms:W3CDTF">2026-09-12T19:15:00Z</dcterms:modified>
</cp:coreProperties>
</file>