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3BC917" w14:textId="77777777" w:rsidR="0003695D" w:rsidRPr="00D64202" w:rsidRDefault="00000000">
      <w:pPr>
        <w:spacing w:after="360"/>
        <w:jc w:val="right"/>
      </w:pPr>
      <w:r w:rsidRPr="00D64202">
        <w:t>São Paulo, 27 de setembro de 2026</w:t>
      </w:r>
    </w:p>
    <w:p w14:paraId="6D9E2AFB" w14:textId="77777777" w:rsidR="0003695D" w:rsidRPr="00D64202" w:rsidRDefault="00000000">
      <w:pPr>
        <w:spacing w:after="240"/>
        <w:jc w:val="center"/>
      </w:pPr>
      <w:r w:rsidRPr="00D64202">
        <w:rPr>
          <w:b/>
          <w:bCs/>
          <w:sz w:val="28"/>
          <w:szCs w:val="28"/>
        </w:rPr>
        <w:t>PARECER</w:t>
      </w:r>
    </w:p>
    <w:p w14:paraId="67E3BECB" w14:textId="77777777" w:rsidR="0003695D" w:rsidRPr="00D64202" w:rsidRDefault="00000000">
      <w:pPr>
        <w:spacing w:after="120"/>
        <w:jc w:val="both"/>
      </w:pPr>
      <w:r w:rsidRPr="00D64202">
        <w:rPr>
          <w:b/>
          <w:bCs/>
        </w:rPr>
        <w:t xml:space="preserve">Assunto: </w:t>
      </w:r>
      <w:r w:rsidRPr="00D64202">
        <w:t>CBS e IBS em 2027 e 2028 sobre contratos de locação em curso. Holding patrimonial locadora. Redução da carga tributária e reflexo no valor do aluguel.</w:t>
      </w:r>
    </w:p>
    <w:p w14:paraId="271B4E6F" w14:textId="77777777" w:rsidR="0003695D" w:rsidRPr="00D64202" w:rsidRDefault="00000000">
      <w:pPr>
        <w:spacing w:after="240"/>
        <w:ind w:left="3402"/>
        <w:jc w:val="both"/>
      </w:pPr>
      <w:r w:rsidRPr="00D64202">
        <w:rPr>
          <w:i/>
          <w:iCs/>
          <w:sz w:val="22"/>
          <w:szCs w:val="22"/>
        </w:rPr>
        <w:t xml:space="preserve">Ementa: Reforma Tributária. EC 132/2023. LC 214/2025. Extinção do PIS e da </w:t>
      </w:r>
      <w:proofErr w:type="spellStart"/>
      <w:r w:rsidRPr="00D64202">
        <w:rPr>
          <w:i/>
          <w:iCs/>
          <w:sz w:val="22"/>
          <w:szCs w:val="22"/>
        </w:rPr>
        <w:t>Cofins</w:t>
      </w:r>
      <w:proofErr w:type="spellEnd"/>
      <w:r w:rsidRPr="00D64202">
        <w:rPr>
          <w:i/>
          <w:iCs/>
          <w:sz w:val="22"/>
          <w:szCs w:val="22"/>
        </w:rPr>
        <w:t xml:space="preserve"> em 1º de janeiro de 2027. Locação de bens imóveis por holding patrimonial no lucro presumido. Redução de 70% das alíquotas (art. 261, parágrafo único, da LC 214/2025). Carga de CBS inferior aos 3,65% atuais. Princípio da neutralidade. Ausência de regra legal de ajuste de preço em contratos privados. Recomendação de revisão consensual do aluguel para que a desoneração se reflita na operação econômica.</w:t>
      </w:r>
    </w:p>
    <w:p w14:paraId="5D9CC640" w14:textId="77777777" w:rsidR="0003695D" w:rsidRPr="00D64202" w:rsidRDefault="00000000">
      <w:pPr>
        <w:keepNext/>
        <w:spacing w:before="480" w:after="360"/>
      </w:pPr>
      <w:r w:rsidRPr="00D64202">
        <w:rPr>
          <w:b/>
          <w:bCs/>
          <w:sz w:val="26"/>
          <w:szCs w:val="26"/>
        </w:rPr>
        <w:t>1. A consulta e o recorte temporal</w:t>
      </w:r>
    </w:p>
    <w:p w14:paraId="626E5B7E" w14:textId="77777777" w:rsidR="0003695D" w:rsidRPr="00D64202" w:rsidRDefault="00000000">
      <w:pPr>
        <w:spacing w:after="140" w:line="288" w:lineRule="auto"/>
        <w:ind w:firstLine="1134"/>
        <w:jc w:val="both"/>
      </w:pPr>
      <w:r w:rsidRPr="00D64202">
        <w:t xml:space="preserve">Fomos consultados sobre os efeitos da CBS e do IBS, nos anos de 2027 e 2028, sobre os contratos de locação já celebrados e em curso. O caso examinado é o de uma holding patrimonial que loca imóveis próprios, tributada pelo lucro presumido e, por isso, sujeita hoje ao PIS e à </w:t>
      </w:r>
      <w:proofErr w:type="spellStart"/>
      <w:r w:rsidRPr="00D64202">
        <w:t>Cofins</w:t>
      </w:r>
      <w:proofErr w:type="spellEnd"/>
      <w:r w:rsidRPr="00D64202">
        <w:t xml:space="preserve"> no regime cumulativo, à razão de 3,65% sobre a receita.</w:t>
      </w:r>
    </w:p>
    <w:p w14:paraId="3EB8CD3C" w14:textId="77777777" w:rsidR="0003695D" w:rsidRPr="00D64202" w:rsidRDefault="00000000">
      <w:pPr>
        <w:spacing w:after="140" w:line="288" w:lineRule="auto"/>
        <w:ind w:firstLine="1134"/>
        <w:jc w:val="both"/>
      </w:pPr>
      <w:r w:rsidRPr="00D64202">
        <w:t xml:space="preserve">A pergunta é objetiva: se a nova contribuição custar menos à locadora do que o PIS e a </w:t>
      </w:r>
      <w:proofErr w:type="spellStart"/>
      <w:r w:rsidRPr="00D64202">
        <w:t>Cofins</w:t>
      </w:r>
      <w:proofErr w:type="spellEnd"/>
      <w:r w:rsidRPr="00D64202">
        <w:t xml:space="preserve"> custam hoje, o valor do aluguel dos contratos existentes deve ser reduzido na mesma medida?</w:t>
      </w:r>
    </w:p>
    <w:p w14:paraId="52A6562E" w14:textId="77777777" w:rsidR="0003695D" w:rsidRPr="00D64202" w:rsidRDefault="00000000">
      <w:pPr>
        <w:spacing w:after="140" w:line="288" w:lineRule="auto"/>
        <w:ind w:firstLine="1134"/>
        <w:jc w:val="both"/>
      </w:pPr>
      <w:r w:rsidRPr="00D64202">
        <w:t>Este parecer se limita aos exercícios de 2027 e 2028. A partir de 2029 começa a transição do ICMS e do ISS para o IBS, com elevação progressiva da alíquota deste último (art. 128 do ADCT), e o quadro de carga da locadora muda de forma relevante. Esse período será examinado em estudo próprio.</w:t>
      </w:r>
    </w:p>
    <w:p w14:paraId="52450551" w14:textId="77777777" w:rsidR="0003695D" w:rsidRPr="00D64202" w:rsidRDefault="00000000">
      <w:pPr>
        <w:keepNext/>
        <w:spacing w:before="480" w:after="360"/>
      </w:pPr>
      <w:r w:rsidRPr="00D64202">
        <w:rPr>
          <w:b/>
          <w:bCs/>
          <w:sz w:val="26"/>
          <w:szCs w:val="26"/>
        </w:rPr>
        <w:t xml:space="preserve">2. O cenário atual: PIS e </w:t>
      </w:r>
      <w:proofErr w:type="spellStart"/>
      <w:r w:rsidRPr="00D64202">
        <w:rPr>
          <w:b/>
          <w:bCs/>
          <w:sz w:val="26"/>
          <w:szCs w:val="26"/>
        </w:rPr>
        <w:t>Cofins</w:t>
      </w:r>
      <w:proofErr w:type="spellEnd"/>
      <w:r w:rsidRPr="00D64202">
        <w:rPr>
          <w:b/>
          <w:bCs/>
          <w:sz w:val="26"/>
          <w:szCs w:val="26"/>
        </w:rPr>
        <w:t xml:space="preserve"> cumulativos e a fase de teste de 2026</w:t>
      </w:r>
    </w:p>
    <w:p w14:paraId="3CE9CFC4" w14:textId="77777777" w:rsidR="0003695D" w:rsidRPr="00D64202" w:rsidRDefault="00000000">
      <w:pPr>
        <w:spacing w:after="140" w:line="288" w:lineRule="auto"/>
        <w:ind w:firstLine="1134"/>
        <w:jc w:val="both"/>
      </w:pPr>
      <w:r w:rsidRPr="00D64202">
        <w:t xml:space="preserve">Em 2026 a holding patrimonial do lucro presumido continua a recolher PIS (0,65%) e </w:t>
      </w:r>
      <w:proofErr w:type="spellStart"/>
      <w:r w:rsidRPr="00D64202">
        <w:t>Cofins</w:t>
      </w:r>
      <w:proofErr w:type="spellEnd"/>
      <w:r w:rsidRPr="00D64202">
        <w:t xml:space="preserve"> (3%) sobre a receita de aluguéis, no regime cumulativo das Leis 9.718/1998 e 10.833/2003. São tributos calculados "por dentro": estão embutidos no valor do aluguel, sem destaque ao locatário.</w:t>
      </w:r>
    </w:p>
    <w:p w14:paraId="70D455C9" w14:textId="77777777" w:rsidR="0003695D" w:rsidRPr="00D64202" w:rsidRDefault="00000000">
      <w:pPr>
        <w:spacing w:after="140" w:line="288" w:lineRule="auto"/>
        <w:ind w:firstLine="1134"/>
        <w:jc w:val="both"/>
      </w:pPr>
      <w:r w:rsidRPr="00D64202">
        <w:lastRenderedPageBreak/>
        <w:t xml:space="preserve">Desde 1º de agosto de 2026 passou a ser exigido o destaque da CBS (0,9%) e do IBS (0,1%) nos documentos fiscais, dentro da fase de teste prevista no art. 125 do ADCT e no art. 348 da LC 214/2025. Esse destaque tem natureza informativa e não gera ônus adicional à locadora, pois os valores são compensáveis com o PIS e a </w:t>
      </w:r>
      <w:proofErr w:type="spellStart"/>
      <w:r w:rsidRPr="00D64202">
        <w:t>Cofins</w:t>
      </w:r>
      <w:proofErr w:type="spellEnd"/>
      <w:r w:rsidRPr="00D64202">
        <w:t xml:space="preserve"> devidos. Para a locação, o Ato Conjunto RFB/CGIBS nº 4/2026 fixou em 1º de dezembro de 2026 a obrigatoriedade da NFS-e.</w:t>
      </w:r>
    </w:p>
    <w:p w14:paraId="1CEBFA15" w14:textId="77777777" w:rsidR="0003695D" w:rsidRPr="00D64202" w:rsidRDefault="00000000">
      <w:pPr>
        <w:spacing w:after="140" w:line="288" w:lineRule="auto"/>
        <w:ind w:firstLine="1134"/>
        <w:jc w:val="both"/>
      </w:pPr>
      <w:r w:rsidRPr="00D64202">
        <w:t>O ponto central, portanto, é que até 31 de dezembro de 2026 o custo tributário efetivo sobre o aluguel continua sendo de 3,65%.</w:t>
      </w:r>
    </w:p>
    <w:p w14:paraId="23E5A710" w14:textId="77777777" w:rsidR="0003695D" w:rsidRPr="00D64202" w:rsidRDefault="00000000">
      <w:pPr>
        <w:keepNext/>
        <w:spacing w:before="480" w:after="360"/>
      </w:pPr>
      <w:r w:rsidRPr="00D64202">
        <w:rPr>
          <w:b/>
          <w:bCs/>
          <w:sz w:val="26"/>
          <w:szCs w:val="26"/>
        </w:rPr>
        <w:t>3. O que muda em 1º de janeiro de 2027</w:t>
      </w:r>
    </w:p>
    <w:p w14:paraId="3C46C377" w14:textId="77777777" w:rsidR="0003695D" w:rsidRPr="00D64202" w:rsidRDefault="00000000">
      <w:pPr>
        <w:spacing w:after="140" w:line="288" w:lineRule="auto"/>
        <w:ind w:firstLine="1134"/>
        <w:jc w:val="both"/>
      </w:pPr>
      <w:r w:rsidRPr="00D64202">
        <w:t xml:space="preserve">Em 2027 o PIS e a </w:t>
      </w:r>
      <w:proofErr w:type="spellStart"/>
      <w:r w:rsidRPr="00D64202">
        <w:t>Cofins</w:t>
      </w:r>
      <w:proofErr w:type="spellEnd"/>
      <w:r w:rsidRPr="00D64202">
        <w:t xml:space="preserve"> deixam de existir (art. 126, II, do ADCT) e a CBS passa a ser cobrada com efetividade. O IBS permanece em alíquota residual de 0,1% (0,05% estadual e 0,05% municipal) em 2027 e 2028, e a CBS tem sua alíquota reduzida em 0,1 ponto percentual nesses dois anos, conforme o art. 127 do ADCT.</w:t>
      </w:r>
    </w:p>
    <w:p w14:paraId="01C57DFB" w14:textId="77777777" w:rsidR="0003695D" w:rsidRPr="00D64202" w:rsidRDefault="00000000">
      <w:pPr>
        <w:spacing w:after="140" w:line="288" w:lineRule="auto"/>
        <w:ind w:firstLine="1134"/>
        <w:jc w:val="both"/>
      </w:pPr>
      <w:r w:rsidRPr="00D64202">
        <w:t>A locação de imóveis recebeu tratamento favorecido. A LC 214/2025 estabeleceu:</w:t>
      </w:r>
    </w:p>
    <w:p w14:paraId="107EC02E" w14:textId="77777777" w:rsidR="0003695D" w:rsidRPr="00D64202" w:rsidRDefault="00000000">
      <w:pPr>
        <w:spacing w:before="60" w:after="160" w:line="264" w:lineRule="auto"/>
        <w:ind w:left="1134" w:right="1134"/>
        <w:jc w:val="both"/>
      </w:pPr>
      <w:r w:rsidRPr="00D64202">
        <w:rPr>
          <w:i/>
          <w:iCs/>
        </w:rPr>
        <w:t>Art. 261. [...] Parágrafo único. As alíquotas do IBS e da CBS relativas às operações de locação, cessão onerosa e arrendamento de bens imóveis ficam reduzidas em 70% (setenta por cento).</w:t>
      </w:r>
    </w:p>
    <w:p w14:paraId="699F6ED1" w14:textId="77777777" w:rsidR="0003695D" w:rsidRPr="00D64202" w:rsidRDefault="00000000">
      <w:pPr>
        <w:spacing w:after="140" w:line="288" w:lineRule="auto"/>
        <w:ind w:firstLine="1134"/>
        <w:jc w:val="both"/>
      </w:pPr>
      <w:r w:rsidRPr="00D64202">
        <w:t>A alíquota de referência da CBS para 2027 ainda será fixada pelo Senado Federal, após cálculo da Receita Federal validado pelo TCU, com prazo até 15 de dezembro de 2026. As estimativas de mercado giram em torno de 9%, e há leitura que aponta 9,21% a partir da Resolução CGIBS nº 14/2026. Adotamos 9% como premissa, tal como proposto na consulta.</w:t>
      </w:r>
    </w:p>
    <w:p w14:paraId="246B2B0F" w14:textId="77777777" w:rsidR="0003695D" w:rsidRPr="00D64202" w:rsidRDefault="00000000">
      <w:pPr>
        <w:spacing w:after="140" w:line="288" w:lineRule="auto"/>
        <w:ind w:firstLine="1134"/>
        <w:jc w:val="both"/>
      </w:pPr>
      <w:r w:rsidRPr="00D64202">
        <w:t>Assim, 30% de 9% resultam em aproximadamente 2,7% sobre o aluguel. Se aplicada a redução de 0,1 ponto do art. 127 do ADCT antes do redutor setorial, a carga cai para cerca de 2,67%. Em qualquer dos cálculos, o custo da CBS fica abaixo dos 3,65% de hoje.</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2000"/>
        <w:gridCol w:w="2000"/>
        <w:gridCol w:w="2000"/>
      </w:tblGrid>
      <w:tr w:rsidR="0003695D" w:rsidRPr="00D64202" w14:paraId="0A168FDC" w14:textId="77777777" w:rsidTr="00D64202">
        <w:tblPrEx>
          <w:tblCellMar>
            <w:top w:w="0" w:type="dxa"/>
            <w:bottom w:w="0" w:type="dxa"/>
          </w:tblCellMar>
        </w:tblPrEx>
        <w:trPr>
          <w:tblHeader/>
          <w:jc w:val="center"/>
        </w:trPr>
        <w:tc>
          <w:tcPr>
            <w:tcW w:w="34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3E5F9DD7" w14:textId="77777777" w:rsidR="0003695D" w:rsidRPr="00D64202" w:rsidRDefault="00000000">
            <w:r w:rsidRPr="00D64202">
              <w:rPr>
                <w:b/>
                <w:bCs/>
                <w:sz w:val="20"/>
                <w:szCs w:val="20"/>
              </w:rPr>
              <w:t>Tributo sobre a receita de aluguel</w:t>
            </w:r>
          </w:p>
        </w:tc>
        <w:tc>
          <w:tcPr>
            <w:tcW w:w="20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75370E34" w14:textId="77777777" w:rsidR="0003695D" w:rsidRPr="00D64202" w:rsidRDefault="00000000">
            <w:pPr>
              <w:jc w:val="center"/>
            </w:pPr>
            <w:r w:rsidRPr="00D64202">
              <w:rPr>
                <w:b/>
                <w:bCs/>
                <w:sz w:val="20"/>
                <w:szCs w:val="20"/>
              </w:rPr>
              <w:t>2026</w:t>
            </w:r>
          </w:p>
        </w:tc>
        <w:tc>
          <w:tcPr>
            <w:tcW w:w="20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5C28DD92" w14:textId="77777777" w:rsidR="0003695D" w:rsidRPr="00D64202" w:rsidRDefault="00000000">
            <w:pPr>
              <w:jc w:val="center"/>
            </w:pPr>
            <w:r w:rsidRPr="00D64202">
              <w:rPr>
                <w:b/>
                <w:bCs/>
                <w:sz w:val="20"/>
                <w:szCs w:val="20"/>
              </w:rPr>
              <w:t>2027 e 2028</w:t>
            </w:r>
          </w:p>
        </w:tc>
        <w:tc>
          <w:tcPr>
            <w:tcW w:w="20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26C90D79" w14:textId="77777777" w:rsidR="0003695D" w:rsidRPr="00D64202" w:rsidRDefault="00000000">
            <w:pPr>
              <w:jc w:val="center"/>
            </w:pPr>
            <w:r w:rsidRPr="00D64202">
              <w:rPr>
                <w:b/>
                <w:bCs/>
                <w:sz w:val="20"/>
                <w:szCs w:val="20"/>
              </w:rPr>
              <w:t>Variação</w:t>
            </w:r>
          </w:p>
        </w:tc>
      </w:tr>
      <w:tr w:rsidR="0003695D" w:rsidRPr="00D64202" w14:paraId="22E04CFE" w14:textId="77777777">
        <w:tblPrEx>
          <w:tblCellMar>
            <w:top w:w="0" w:type="dxa"/>
            <w:bottom w:w="0" w:type="dxa"/>
          </w:tblCellMar>
        </w:tblPrEx>
        <w:trPr>
          <w:jc w:val="center"/>
        </w:trPr>
        <w:tc>
          <w:tcPr>
            <w:tcW w:w="34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1E99A78B" w14:textId="77777777" w:rsidR="0003695D" w:rsidRPr="00D64202" w:rsidRDefault="00000000">
            <w:r w:rsidRPr="00D64202">
              <w:rPr>
                <w:sz w:val="20"/>
                <w:szCs w:val="20"/>
              </w:rPr>
              <w:t>PIS/</w:t>
            </w:r>
            <w:proofErr w:type="spellStart"/>
            <w:r w:rsidRPr="00D64202">
              <w:rPr>
                <w:sz w:val="20"/>
                <w:szCs w:val="20"/>
              </w:rPr>
              <w:t>Cofins</w:t>
            </w:r>
            <w:proofErr w:type="spellEnd"/>
            <w:r w:rsidRPr="00D64202">
              <w:rPr>
                <w:sz w:val="20"/>
                <w:szCs w:val="20"/>
              </w:rPr>
              <w:t xml:space="preserve"> cumulativos</w:t>
            </w:r>
          </w:p>
        </w:tc>
        <w:tc>
          <w:tcPr>
            <w:tcW w:w="20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07BD30F4" w14:textId="77777777" w:rsidR="0003695D" w:rsidRPr="00D64202" w:rsidRDefault="00000000">
            <w:pPr>
              <w:jc w:val="center"/>
            </w:pPr>
            <w:r w:rsidRPr="00D64202">
              <w:rPr>
                <w:sz w:val="20"/>
                <w:szCs w:val="20"/>
              </w:rPr>
              <w:t>3,65%</w:t>
            </w:r>
          </w:p>
        </w:tc>
        <w:tc>
          <w:tcPr>
            <w:tcW w:w="20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000BAFA0" w14:textId="77777777" w:rsidR="0003695D" w:rsidRPr="00D64202" w:rsidRDefault="00000000">
            <w:pPr>
              <w:jc w:val="center"/>
            </w:pPr>
            <w:r w:rsidRPr="00D64202">
              <w:rPr>
                <w:sz w:val="20"/>
                <w:szCs w:val="20"/>
              </w:rPr>
              <w:t>extintos</w:t>
            </w:r>
          </w:p>
        </w:tc>
        <w:tc>
          <w:tcPr>
            <w:tcW w:w="20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5B5D3C54" w14:textId="77777777" w:rsidR="0003695D" w:rsidRPr="00D64202" w:rsidRDefault="00000000">
            <w:pPr>
              <w:jc w:val="center"/>
            </w:pPr>
            <w:r w:rsidRPr="00D64202">
              <w:rPr>
                <w:sz w:val="20"/>
                <w:szCs w:val="20"/>
              </w:rPr>
              <w:t xml:space="preserve">-3,65 </w:t>
            </w:r>
            <w:proofErr w:type="spellStart"/>
            <w:r w:rsidRPr="00D64202">
              <w:rPr>
                <w:sz w:val="20"/>
                <w:szCs w:val="20"/>
              </w:rPr>
              <w:t>p.p</w:t>
            </w:r>
            <w:proofErr w:type="spellEnd"/>
            <w:r w:rsidRPr="00D64202">
              <w:rPr>
                <w:sz w:val="20"/>
                <w:szCs w:val="20"/>
              </w:rPr>
              <w:t>.</w:t>
            </w:r>
          </w:p>
        </w:tc>
      </w:tr>
      <w:tr w:rsidR="0003695D" w:rsidRPr="00D64202" w14:paraId="7327CBB6" w14:textId="77777777">
        <w:tblPrEx>
          <w:tblCellMar>
            <w:top w:w="0" w:type="dxa"/>
            <w:bottom w:w="0" w:type="dxa"/>
          </w:tblCellMar>
        </w:tblPrEx>
        <w:trPr>
          <w:jc w:val="center"/>
        </w:trPr>
        <w:tc>
          <w:tcPr>
            <w:tcW w:w="34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11F671A9" w14:textId="77777777" w:rsidR="0003695D" w:rsidRPr="00D64202" w:rsidRDefault="00000000">
            <w:r w:rsidRPr="00D64202">
              <w:rPr>
                <w:sz w:val="20"/>
                <w:szCs w:val="20"/>
              </w:rPr>
              <w:t>CBS (30% de 9%)</w:t>
            </w:r>
          </w:p>
        </w:tc>
        <w:tc>
          <w:tcPr>
            <w:tcW w:w="20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36731B84" w14:textId="77777777" w:rsidR="0003695D" w:rsidRPr="00D64202" w:rsidRDefault="00000000">
            <w:pPr>
              <w:jc w:val="center"/>
            </w:pPr>
            <w:r w:rsidRPr="00D64202">
              <w:rPr>
                <w:sz w:val="20"/>
                <w:szCs w:val="20"/>
              </w:rPr>
              <w:t>0,9% compensável</w:t>
            </w:r>
          </w:p>
        </w:tc>
        <w:tc>
          <w:tcPr>
            <w:tcW w:w="20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78F3567D" w14:textId="77777777" w:rsidR="0003695D" w:rsidRPr="00D64202" w:rsidRDefault="00000000">
            <w:pPr>
              <w:jc w:val="center"/>
            </w:pPr>
            <w:r w:rsidRPr="00D64202">
              <w:rPr>
                <w:sz w:val="20"/>
                <w:szCs w:val="20"/>
              </w:rPr>
              <w:t>2,70%</w:t>
            </w:r>
          </w:p>
        </w:tc>
        <w:tc>
          <w:tcPr>
            <w:tcW w:w="20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2A49FAD0" w14:textId="77777777" w:rsidR="0003695D" w:rsidRPr="00D64202" w:rsidRDefault="00000000">
            <w:pPr>
              <w:jc w:val="center"/>
            </w:pPr>
            <w:r w:rsidRPr="00D64202">
              <w:rPr>
                <w:sz w:val="20"/>
                <w:szCs w:val="20"/>
              </w:rPr>
              <w:t xml:space="preserve">+2,70 </w:t>
            </w:r>
            <w:proofErr w:type="spellStart"/>
            <w:r w:rsidRPr="00D64202">
              <w:rPr>
                <w:sz w:val="20"/>
                <w:szCs w:val="20"/>
              </w:rPr>
              <w:t>p.p</w:t>
            </w:r>
            <w:proofErr w:type="spellEnd"/>
            <w:r w:rsidRPr="00D64202">
              <w:rPr>
                <w:sz w:val="20"/>
                <w:szCs w:val="20"/>
              </w:rPr>
              <w:t>.</w:t>
            </w:r>
          </w:p>
        </w:tc>
      </w:tr>
      <w:tr w:rsidR="0003695D" w:rsidRPr="00D64202" w14:paraId="2C1F3DF5" w14:textId="77777777">
        <w:tblPrEx>
          <w:tblCellMar>
            <w:top w:w="0" w:type="dxa"/>
            <w:bottom w:w="0" w:type="dxa"/>
          </w:tblCellMar>
        </w:tblPrEx>
        <w:trPr>
          <w:jc w:val="center"/>
        </w:trPr>
        <w:tc>
          <w:tcPr>
            <w:tcW w:w="34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58BEF043" w14:textId="77777777" w:rsidR="0003695D" w:rsidRPr="00D64202" w:rsidRDefault="00000000">
            <w:r w:rsidRPr="00D64202">
              <w:rPr>
                <w:sz w:val="20"/>
                <w:szCs w:val="20"/>
              </w:rPr>
              <w:t>IBS (30% de 0,1%)</w:t>
            </w:r>
          </w:p>
        </w:tc>
        <w:tc>
          <w:tcPr>
            <w:tcW w:w="20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301430CE" w14:textId="77777777" w:rsidR="0003695D" w:rsidRPr="00D64202" w:rsidRDefault="00000000">
            <w:pPr>
              <w:jc w:val="center"/>
            </w:pPr>
            <w:r w:rsidRPr="00D64202">
              <w:rPr>
                <w:sz w:val="20"/>
                <w:szCs w:val="20"/>
              </w:rPr>
              <w:t>0,1% compensável</w:t>
            </w:r>
          </w:p>
        </w:tc>
        <w:tc>
          <w:tcPr>
            <w:tcW w:w="20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11A108FC" w14:textId="77777777" w:rsidR="0003695D" w:rsidRPr="00D64202" w:rsidRDefault="00000000">
            <w:pPr>
              <w:jc w:val="center"/>
            </w:pPr>
            <w:r w:rsidRPr="00D64202">
              <w:rPr>
                <w:sz w:val="20"/>
                <w:szCs w:val="20"/>
              </w:rPr>
              <w:t>0,03%</w:t>
            </w:r>
          </w:p>
        </w:tc>
        <w:tc>
          <w:tcPr>
            <w:tcW w:w="20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69E25D39" w14:textId="77777777" w:rsidR="0003695D" w:rsidRPr="00D64202" w:rsidRDefault="00000000">
            <w:pPr>
              <w:jc w:val="center"/>
            </w:pPr>
            <w:r w:rsidRPr="00D64202">
              <w:rPr>
                <w:sz w:val="20"/>
                <w:szCs w:val="20"/>
              </w:rPr>
              <w:t xml:space="preserve">+0,03 </w:t>
            </w:r>
            <w:proofErr w:type="spellStart"/>
            <w:r w:rsidRPr="00D64202">
              <w:rPr>
                <w:sz w:val="20"/>
                <w:szCs w:val="20"/>
              </w:rPr>
              <w:t>p.p</w:t>
            </w:r>
            <w:proofErr w:type="spellEnd"/>
            <w:r w:rsidRPr="00D64202">
              <w:rPr>
                <w:sz w:val="20"/>
                <w:szCs w:val="20"/>
              </w:rPr>
              <w:t>.</w:t>
            </w:r>
          </w:p>
        </w:tc>
      </w:tr>
      <w:tr w:rsidR="0003695D" w:rsidRPr="00D64202" w14:paraId="0C4F2C21" w14:textId="77777777">
        <w:tblPrEx>
          <w:tblCellMar>
            <w:top w:w="0" w:type="dxa"/>
            <w:bottom w:w="0" w:type="dxa"/>
          </w:tblCellMar>
        </w:tblPrEx>
        <w:trPr>
          <w:jc w:val="center"/>
        </w:trPr>
        <w:tc>
          <w:tcPr>
            <w:tcW w:w="34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4598A935" w14:textId="77777777" w:rsidR="0003695D" w:rsidRPr="00D64202" w:rsidRDefault="00000000">
            <w:r w:rsidRPr="00D64202">
              <w:rPr>
                <w:sz w:val="20"/>
                <w:szCs w:val="20"/>
              </w:rPr>
              <w:lastRenderedPageBreak/>
              <w:t>Carga efetiva total</w:t>
            </w:r>
          </w:p>
        </w:tc>
        <w:tc>
          <w:tcPr>
            <w:tcW w:w="20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0CA041DB" w14:textId="77777777" w:rsidR="0003695D" w:rsidRPr="00D64202" w:rsidRDefault="00000000">
            <w:pPr>
              <w:jc w:val="center"/>
            </w:pPr>
            <w:r w:rsidRPr="00D64202">
              <w:rPr>
                <w:sz w:val="20"/>
                <w:szCs w:val="20"/>
              </w:rPr>
              <w:t>3,65%</w:t>
            </w:r>
          </w:p>
        </w:tc>
        <w:tc>
          <w:tcPr>
            <w:tcW w:w="20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7B0B1BBD" w14:textId="77777777" w:rsidR="0003695D" w:rsidRPr="00D64202" w:rsidRDefault="00000000">
            <w:pPr>
              <w:jc w:val="center"/>
            </w:pPr>
            <w:r w:rsidRPr="00D64202">
              <w:rPr>
                <w:sz w:val="20"/>
                <w:szCs w:val="20"/>
              </w:rPr>
              <w:t>≈ 2,73%</w:t>
            </w:r>
          </w:p>
        </w:tc>
        <w:tc>
          <w:tcPr>
            <w:tcW w:w="20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74340FCD" w14:textId="77777777" w:rsidR="0003695D" w:rsidRPr="00D64202" w:rsidRDefault="00000000">
            <w:pPr>
              <w:jc w:val="center"/>
            </w:pPr>
            <w:r w:rsidRPr="00D64202">
              <w:rPr>
                <w:sz w:val="20"/>
                <w:szCs w:val="20"/>
              </w:rPr>
              <w:t xml:space="preserve">≈ -0,92 </w:t>
            </w:r>
            <w:proofErr w:type="spellStart"/>
            <w:r w:rsidRPr="00D64202">
              <w:rPr>
                <w:sz w:val="20"/>
                <w:szCs w:val="20"/>
              </w:rPr>
              <w:t>p.p</w:t>
            </w:r>
            <w:proofErr w:type="spellEnd"/>
            <w:r w:rsidRPr="00D64202">
              <w:rPr>
                <w:sz w:val="20"/>
                <w:szCs w:val="20"/>
              </w:rPr>
              <w:t>.</w:t>
            </w:r>
          </w:p>
        </w:tc>
      </w:tr>
    </w:tbl>
    <w:p w14:paraId="545C9CD1" w14:textId="77777777" w:rsidR="0003695D" w:rsidRPr="00D64202" w:rsidRDefault="00000000">
      <w:pPr>
        <w:spacing w:before="80" w:after="200"/>
        <w:jc w:val="both"/>
      </w:pPr>
      <w:r w:rsidRPr="00D64202">
        <w:rPr>
          <w:i/>
          <w:iCs/>
          <w:sz w:val="18"/>
          <w:szCs w:val="18"/>
        </w:rPr>
        <w:t>Quadro 1. Carga da holding patrimonial no lucro presumido. Premissa: alíquota de referência da CBS de 9%. Na locação residencial ainda cabe o redutor social de R$ 600,00 por imóvel (art. 260 da LC 214/2025), o que reduz mais a carga.</w:t>
      </w:r>
    </w:p>
    <w:p w14:paraId="7FF8EBEB" w14:textId="77777777" w:rsidR="0003695D" w:rsidRPr="00D64202" w:rsidRDefault="00000000">
      <w:pPr>
        <w:keepNext/>
        <w:spacing w:before="480" w:after="360"/>
      </w:pPr>
      <w:r w:rsidRPr="00D64202">
        <w:rPr>
          <w:b/>
          <w:bCs/>
          <w:sz w:val="26"/>
          <w:szCs w:val="26"/>
        </w:rPr>
        <w:t>4. O princípio da neutralidade</w:t>
      </w:r>
    </w:p>
    <w:p w14:paraId="0B7F8917" w14:textId="77777777" w:rsidR="0003695D" w:rsidRPr="00D64202" w:rsidRDefault="00000000">
      <w:pPr>
        <w:spacing w:after="140" w:line="288" w:lineRule="auto"/>
        <w:ind w:firstLine="1134"/>
        <w:jc w:val="both"/>
      </w:pPr>
      <w:r w:rsidRPr="00D64202">
        <w:t>A EC 132/2023 colocou a neutralidade no texto constitucional como princípio informador do IBS, estendido à CBS pelo art. 195, § 16, da Constituição:</w:t>
      </w:r>
    </w:p>
    <w:p w14:paraId="36BAEE6E" w14:textId="77777777" w:rsidR="0003695D" w:rsidRPr="00D64202" w:rsidRDefault="00000000">
      <w:pPr>
        <w:spacing w:before="60" w:after="160" w:line="264" w:lineRule="auto"/>
        <w:ind w:left="1134" w:right="1134"/>
        <w:jc w:val="both"/>
      </w:pPr>
      <w:r w:rsidRPr="00D64202">
        <w:rPr>
          <w:i/>
          <w:iCs/>
        </w:rPr>
        <w:t>Art. 156-A. [...] § 1º O imposto previsto no caput será informado pelo princípio da neutralidade e atenderá ao seguinte: [...]</w:t>
      </w:r>
    </w:p>
    <w:p w14:paraId="3C59B8D8" w14:textId="77777777" w:rsidR="0003695D" w:rsidRPr="00D64202" w:rsidRDefault="00000000">
      <w:pPr>
        <w:spacing w:after="140" w:line="288" w:lineRule="auto"/>
        <w:ind w:firstLine="1134"/>
        <w:jc w:val="both"/>
      </w:pPr>
      <w:r w:rsidRPr="00D64202">
        <w:t>A LC 214/2025 repetiu e explicitou o conteúdo do princípio:</w:t>
      </w:r>
    </w:p>
    <w:p w14:paraId="591509DD" w14:textId="77777777" w:rsidR="0003695D" w:rsidRPr="00D64202" w:rsidRDefault="00000000">
      <w:pPr>
        <w:spacing w:before="60" w:after="160" w:line="264" w:lineRule="auto"/>
        <w:ind w:left="1134" w:right="1134"/>
        <w:jc w:val="both"/>
      </w:pPr>
      <w:r w:rsidRPr="00D64202">
        <w:rPr>
          <w:i/>
          <w:iCs/>
        </w:rPr>
        <w:t>Art. 2º O IBS e a CBS são informados pelo princípio da neutralidade, segundo o qual esses tributos devem evitar distorcer as decisões de consumo e de organização da atividade econômica, observadas as exceções previstas na Constituição Federal e nesta Lei Complementar.</w:t>
      </w:r>
    </w:p>
    <w:p w14:paraId="1728437F" w14:textId="77777777" w:rsidR="0003695D" w:rsidRPr="00D64202" w:rsidRDefault="00000000">
      <w:pPr>
        <w:spacing w:after="140" w:line="288" w:lineRule="auto"/>
        <w:ind w:firstLine="1134"/>
        <w:jc w:val="both"/>
      </w:pPr>
      <w:r w:rsidRPr="00D64202">
        <w:t>A neutralidade, em sua origem, é um comando dirigido ao legislador e ao sistema: o tributo não deve interferir nas escolhas econômicas. Mas ela traz também uma consequência prática nas relações privadas. Um IVA neutro é aquele cujo ônus acompanha a cadeia até o consumidor final, sem gerar ganho ou perda artificial para quem está no meio dela.</w:t>
      </w:r>
    </w:p>
    <w:p w14:paraId="7EB21B4D" w14:textId="77777777" w:rsidR="0003695D" w:rsidRPr="00D64202" w:rsidRDefault="00000000">
      <w:pPr>
        <w:spacing w:after="140" w:line="288" w:lineRule="auto"/>
        <w:ind w:firstLine="1134"/>
        <w:jc w:val="both"/>
      </w:pPr>
      <w:r w:rsidRPr="00D64202">
        <w:t>Se a troca do PIS/</w:t>
      </w:r>
      <w:proofErr w:type="spellStart"/>
      <w:r w:rsidRPr="00D64202">
        <w:t>Cofins</w:t>
      </w:r>
      <w:proofErr w:type="spellEnd"/>
      <w:r w:rsidRPr="00D64202">
        <w:t xml:space="preserve"> pela CBS reduz o custo da locadora e o aluguel permanece igual, a desoneração não chega à operação econômica. Ela vira margem adicional da locadora, sem causa contratual. É exatamente o tipo de distorção que o art. 2º da LC 214/2025 procura evitar.</w:t>
      </w:r>
    </w:p>
    <w:p w14:paraId="11CE53B5" w14:textId="77777777" w:rsidR="0003695D" w:rsidRPr="00D64202" w:rsidRDefault="00000000">
      <w:pPr>
        <w:keepNext/>
        <w:spacing w:before="480" w:after="360"/>
      </w:pPr>
      <w:r w:rsidRPr="00D64202">
        <w:rPr>
          <w:b/>
          <w:bCs/>
          <w:sz w:val="26"/>
          <w:szCs w:val="26"/>
        </w:rPr>
        <w:t>5. O tratamento singelo da lei e a ausência de determinação objetiva</w:t>
      </w:r>
    </w:p>
    <w:p w14:paraId="336E0E76" w14:textId="77777777" w:rsidR="0003695D" w:rsidRPr="00D64202" w:rsidRDefault="00000000">
      <w:pPr>
        <w:spacing w:after="140" w:line="288" w:lineRule="auto"/>
        <w:ind w:firstLine="1134"/>
        <w:jc w:val="both"/>
      </w:pPr>
      <w:r w:rsidRPr="00D64202">
        <w:t>Há um ponto que precisa ser dito com clareza: nem a EC 132/2023 nem a LC 214/2025 trazem regra que determine a revisão do preço em contratos privados de locação em razão da troca de tributos.</w:t>
      </w:r>
    </w:p>
    <w:p w14:paraId="202D9831" w14:textId="77777777" w:rsidR="0003695D" w:rsidRPr="00D64202" w:rsidRDefault="00000000">
      <w:pPr>
        <w:spacing w:after="140" w:line="288" w:lineRule="auto"/>
        <w:ind w:firstLine="1134"/>
        <w:jc w:val="both"/>
      </w:pPr>
      <w:r w:rsidRPr="00D64202">
        <w:t xml:space="preserve">Quando quis tratar do tema, o legislador o fez apenas para os contratos administrativos. Os </w:t>
      </w:r>
      <w:proofErr w:type="spellStart"/>
      <w:r w:rsidRPr="00D64202">
        <w:t>arts</w:t>
      </w:r>
      <w:proofErr w:type="spellEnd"/>
      <w:r w:rsidRPr="00D64202">
        <w:t xml:space="preserve">. 373 a 377 da LC 214/2025 disciplinam o reequilíbrio </w:t>
      </w:r>
      <w:r w:rsidRPr="00D64202">
        <w:lastRenderedPageBreak/>
        <w:t>econômico-financeiro dos contratos com a Administração Pública, com procedimento e critérios próprios. Para os contratos entre particulares não existe regra equivalente.</w:t>
      </w:r>
    </w:p>
    <w:p w14:paraId="103442AE" w14:textId="77777777" w:rsidR="0003695D" w:rsidRPr="00D64202" w:rsidRDefault="00000000">
      <w:pPr>
        <w:spacing w:after="140" w:line="288" w:lineRule="auto"/>
        <w:ind w:firstLine="1134"/>
        <w:jc w:val="both"/>
      </w:pPr>
      <w:r w:rsidRPr="00D64202">
        <w:t>Também não identificamos, até a data deste parecer, disposição no Decreto nº 12.955/2026, que regulamentou a CBS, na Resolução CGIBS nº 6/2026 ou em ato da Receita Federal que oriente como os contratos de locação em curso devem absorver a mudança. O próprio regime opcional do art. 487 da LC 214/2025, voltado aos contratos antigos, cuida da forma de tributar, e não do preço.</w:t>
      </w:r>
    </w:p>
    <w:p w14:paraId="3FEECD80" w14:textId="77777777" w:rsidR="0003695D" w:rsidRPr="00D64202" w:rsidRDefault="00000000">
      <w:pPr>
        <w:spacing w:after="140" w:line="288" w:lineRule="auto"/>
        <w:ind w:firstLine="1134"/>
        <w:jc w:val="both"/>
      </w:pPr>
      <w:r w:rsidRPr="00D64202">
        <w:t>Na prática, isso significa que o ajuste não é automático e depende das partes. A lei se limita a enunciar o princípio da neutralidade e deixa aos contratantes a tarefa de aplicá-lo.</w:t>
      </w:r>
    </w:p>
    <w:p w14:paraId="474E7B7F" w14:textId="77777777" w:rsidR="0003695D" w:rsidRPr="00D64202" w:rsidRDefault="00000000">
      <w:pPr>
        <w:keepNext/>
        <w:spacing w:before="480" w:after="360"/>
      </w:pPr>
      <w:r w:rsidRPr="00D64202">
        <w:rPr>
          <w:b/>
          <w:bCs/>
          <w:sz w:val="26"/>
          <w:szCs w:val="26"/>
        </w:rPr>
        <w:t>6. Fundamentos de direito privado para o ajuste</w:t>
      </w:r>
    </w:p>
    <w:p w14:paraId="28E4825E" w14:textId="77777777" w:rsidR="0003695D" w:rsidRPr="00D64202" w:rsidRDefault="00000000">
      <w:pPr>
        <w:spacing w:after="140" w:line="288" w:lineRule="auto"/>
        <w:ind w:firstLine="1134"/>
        <w:jc w:val="both"/>
      </w:pPr>
      <w:r w:rsidRPr="00D64202">
        <w:t>A falta de regra específica não deixa a questão sem resposta. O direito privado oferece base suficiente para sustentar a revisão.</w:t>
      </w:r>
    </w:p>
    <w:p w14:paraId="616A11B5" w14:textId="77777777" w:rsidR="0003695D" w:rsidRPr="00D64202" w:rsidRDefault="00000000">
      <w:pPr>
        <w:spacing w:after="100" w:line="288" w:lineRule="auto"/>
        <w:ind w:left="1134" w:hanging="340"/>
        <w:jc w:val="both"/>
      </w:pPr>
      <w:r w:rsidRPr="00D64202">
        <w:t xml:space="preserve">a) </w:t>
      </w:r>
      <w:r w:rsidRPr="00D64202">
        <w:rPr>
          <w:b/>
          <w:bCs/>
        </w:rPr>
        <w:t xml:space="preserve">Lei 8.245/1991 (Lei do Inquilinato): </w:t>
      </w:r>
      <w:r w:rsidRPr="00D64202">
        <w:t>o aluguel é de livre convenção (art. 17), as partes podem fixar novo valor de comum acordo a qualquer tempo (art. 18) e, após três anos de vigência, cabe a ação revisional para ajustar o aluguel ao valor de mercado (art. 19).</w:t>
      </w:r>
    </w:p>
    <w:p w14:paraId="3D364A7C" w14:textId="77777777" w:rsidR="0003695D" w:rsidRPr="00D64202" w:rsidRDefault="00000000">
      <w:pPr>
        <w:spacing w:after="100" w:line="288" w:lineRule="auto"/>
        <w:ind w:left="1134" w:hanging="340"/>
        <w:jc w:val="both"/>
      </w:pPr>
      <w:r w:rsidRPr="00D64202">
        <w:t xml:space="preserve">b) </w:t>
      </w:r>
      <w:r w:rsidRPr="00D64202">
        <w:rPr>
          <w:b/>
          <w:bCs/>
        </w:rPr>
        <w:t xml:space="preserve">Código Civil, </w:t>
      </w:r>
      <w:proofErr w:type="spellStart"/>
      <w:r w:rsidRPr="00D64202">
        <w:rPr>
          <w:b/>
          <w:bCs/>
        </w:rPr>
        <w:t>arts</w:t>
      </w:r>
      <w:proofErr w:type="spellEnd"/>
      <w:r w:rsidRPr="00D64202">
        <w:rPr>
          <w:b/>
          <w:bCs/>
        </w:rPr>
        <w:t xml:space="preserve">. 421 e 422: </w:t>
      </w:r>
      <w:r w:rsidRPr="00D64202">
        <w:t>a função social do contrato e a boa-fé objetiva orientam a execução do ajuste. A preservação do equilíbrio fixado na origem é dever de ambos os contratantes.</w:t>
      </w:r>
    </w:p>
    <w:p w14:paraId="66D448F1" w14:textId="77777777" w:rsidR="0003695D" w:rsidRPr="00D64202" w:rsidRDefault="00000000">
      <w:pPr>
        <w:spacing w:after="100" w:line="288" w:lineRule="auto"/>
        <w:ind w:left="1134" w:hanging="340"/>
        <w:jc w:val="both"/>
      </w:pPr>
      <w:r w:rsidRPr="00D64202">
        <w:t xml:space="preserve">c) </w:t>
      </w:r>
      <w:r w:rsidRPr="00D64202">
        <w:rPr>
          <w:b/>
          <w:bCs/>
        </w:rPr>
        <w:t xml:space="preserve">Código Civil, art. 884: </w:t>
      </w:r>
      <w:r w:rsidRPr="00D64202">
        <w:t>a manutenção integral do preço, com redução da carga embutida nele, gera à locadora vantagem que não decorre do contrato, e sim da lei, o que aproxima a situação do enriquecimento sem causa.</w:t>
      </w:r>
    </w:p>
    <w:p w14:paraId="78FF33D8" w14:textId="77777777" w:rsidR="0003695D" w:rsidRPr="00D64202" w:rsidRDefault="00000000">
      <w:pPr>
        <w:spacing w:after="100" w:line="288" w:lineRule="auto"/>
        <w:ind w:left="1134" w:hanging="340"/>
        <w:jc w:val="both"/>
      </w:pPr>
      <w:r w:rsidRPr="00D64202">
        <w:t xml:space="preserve">d) </w:t>
      </w:r>
      <w:r w:rsidRPr="00D64202">
        <w:rPr>
          <w:b/>
          <w:bCs/>
        </w:rPr>
        <w:t xml:space="preserve">Código Civil, art. 421-A: </w:t>
      </w:r>
      <w:r w:rsidRPr="00D64202">
        <w:t>nos contratos paritários prevalecem a alocação de riscos definida pelas partes e a intervenção mínima. Por isso a leitura de cada cláusula sobre tributos é decisiva.</w:t>
      </w:r>
    </w:p>
    <w:p w14:paraId="7174CDB1" w14:textId="77777777" w:rsidR="0003695D" w:rsidRPr="00D64202" w:rsidRDefault="00000000">
      <w:pPr>
        <w:spacing w:after="140" w:line="288" w:lineRule="auto"/>
        <w:ind w:firstLine="1134"/>
        <w:jc w:val="both"/>
      </w:pPr>
      <w:r w:rsidRPr="00D64202">
        <w:t>Esse último ponto merece atenção. Se o contrato prevê que o aluguel é "líquido" e que tributos novos serão repassados ao locatário, a discussão ganha outro contorno. Se o contrato é silente, como ocorre na maior parte dos casos, o aluguel foi precificado com o PIS/</w:t>
      </w:r>
      <w:proofErr w:type="spellStart"/>
      <w:r w:rsidRPr="00D64202">
        <w:t>Cofins</w:t>
      </w:r>
      <w:proofErr w:type="spellEnd"/>
      <w:r w:rsidRPr="00D64202">
        <w:t xml:space="preserve"> embutido, e a redução da carga deve ser refletida no preço.</w:t>
      </w:r>
    </w:p>
    <w:p w14:paraId="2903F29E" w14:textId="77777777" w:rsidR="0003695D" w:rsidRPr="00D64202" w:rsidRDefault="00000000">
      <w:pPr>
        <w:keepNext/>
        <w:spacing w:before="480" w:after="360"/>
      </w:pPr>
      <w:r w:rsidRPr="00D64202">
        <w:rPr>
          <w:b/>
          <w:bCs/>
          <w:sz w:val="26"/>
          <w:szCs w:val="26"/>
        </w:rPr>
        <w:lastRenderedPageBreak/>
        <w:t>7. Como calcular o ajuste</w:t>
      </w:r>
    </w:p>
    <w:p w14:paraId="177F5FDB" w14:textId="77777777" w:rsidR="0003695D" w:rsidRPr="00D64202" w:rsidRDefault="00000000">
      <w:pPr>
        <w:spacing w:after="140" w:line="288" w:lineRule="auto"/>
        <w:ind w:firstLine="1134"/>
        <w:jc w:val="both"/>
      </w:pPr>
      <w:r w:rsidRPr="00D64202">
        <w:t xml:space="preserve">A CBS e o IBS são calculados "por fora": não integram a própria base de cálculo e são destacados no documento fiscal. O PIS e a </w:t>
      </w:r>
      <w:proofErr w:type="spellStart"/>
      <w:r w:rsidRPr="00D64202">
        <w:t>Cofins</w:t>
      </w:r>
      <w:proofErr w:type="spellEnd"/>
      <w:r w:rsidRPr="00D64202">
        <w:t>, ao contrário, estavam embutidos no aluguel. Esse detalhe altera a conta e precisa ser observado.</w:t>
      </w:r>
    </w:p>
    <w:p w14:paraId="0C8D20D7" w14:textId="77777777" w:rsidR="0003695D" w:rsidRPr="00D64202" w:rsidRDefault="00000000">
      <w:pPr>
        <w:spacing w:after="140" w:line="288" w:lineRule="auto"/>
        <w:ind w:firstLine="1134"/>
        <w:jc w:val="both"/>
      </w:pPr>
      <w:r w:rsidRPr="00D64202">
        <w:t>O cálculo correto parte do valor líquido que a locadora recebe hoje, depois do PIS/</w:t>
      </w:r>
      <w:proofErr w:type="spellStart"/>
      <w:r w:rsidRPr="00D64202">
        <w:t>Cofins</w:t>
      </w:r>
      <w:proofErr w:type="spellEnd"/>
      <w:r w:rsidRPr="00D64202">
        <w:t>, e acrescenta a CBS e o IBS destacados. Tomemos um aluguel de R$ 100.000,00 por mês:</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2500"/>
        <w:gridCol w:w="2500"/>
      </w:tblGrid>
      <w:tr w:rsidR="0003695D" w:rsidRPr="00D64202" w14:paraId="0D49F430" w14:textId="77777777" w:rsidTr="00D64202">
        <w:tblPrEx>
          <w:tblCellMar>
            <w:top w:w="0" w:type="dxa"/>
            <w:bottom w:w="0" w:type="dxa"/>
          </w:tblCellMar>
        </w:tblPrEx>
        <w:trPr>
          <w:tblHeader/>
          <w:jc w:val="center"/>
        </w:trPr>
        <w:tc>
          <w:tcPr>
            <w:tcW w:w="44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1D318823" w14:textId="77777777" w:rsidR="0003695D" w:rsidRPr="00D64202" w:rsidRDefault="00000000">
            <w:r w:rsidRPr="00D64202">
              <w:rPr>
                <w:b/>
                <w:bCs/>
                <w:sz w:val="20"/>
                <w:szCs w:val="20"/>
              </w:rPr>
              <w:t>Composição mensal</w:t>
            </w:r>
          </w:p>
        </w:tc>
        <w:tc>
          <w:tcPr>
            <w:tcW w:w="25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10406AC1" w14:textId="77777777" w:rsidR="0003695D" w:rsidRPr="00D64202" w:rsidRDefault="00000000">
            <w:pPr>
              <w:jc w:val="center"/>
            </w:pPr>
            <w:r w:rsidRPr="00D64202">
              <w:rPr>
                <w:b/>
                <w:bCs/>
                <w:sz w:val="20"/>
                <w:szCs w:val="20"/>
              </w:rPr>
              <w:t>Hoje (2026)</w:t>
            </w:r>
          </w:p>
        </w:tc>
        <w:tc>
          <w:tcPr>
            <w:tcW w:w="25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124C1EE5" w14:textId="77777777" w:rsidR="0003695D" w:rsidRPr="00D64202" w:rsidRDefault="00000000">
            <w:pPr>
              <w:jc w:val="center"/>
            </w:pPr>
            <w:r w:rsidRPr="00D64202">
              <w:rPr>
                <w:b/>
                <w:bCs/>
                <w:sz w:val="20"/>
                <w:szCs w:val="20"/>
              </w:rPr>
              <w:t>2027/2028 neutro</w:t>
            </w:r>
          </w:p>
        </w:tc>
      </w:tr>
      <w:tr w:rsidR="0003695D" w:rsidRPr="00D64202" w14:paraId="33C2893E" w14:textId="77777777">
        <w:tblPrEx>
          <w:tblCellMar>
            <w:top w:w="0" w:type="dxa"/>
            <w:bottom w:w="0" w:type="dxa"/>
          </w:tblCellMar>
        </w:tblPrEx>
        <w:trPr>
          <w:jc w:val="center"/>
        </w:trPr>
        <w:tc>
          <w:tcPr>
            <w:tcW w:w="44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6929835E" w14:textId="77777777" w:rsidR="0003695D" w:rsidRPr="00D64202" w:rsidRDefault="00000000">
            <w:r w:rsidRPr="00D64202">
              <w:rPr>
                <w:sz w:val="20"/>
                <w:szCs w:val="20"/>
              </w:rPr>
              <w:t>Aluguel pago pelo locatário</w:t>
            </w:r>
          </w:p>
        </w:tc>
        <w:tc>
          <w:tcPr>
            <w:tcW w:w="25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78A1943F" w14:textId="77777777" w:rsidR="0003695D" w:rsidRPr="00D64202" w:rsidRDefault="00000000">
            <w:pPr>
              <w:jc w:val="center"/>
            </w:pPr>
            <w:r w:rsidRPr="00D64202">
              <w:rPr>
                <w:sz w:val="20"/>
                <w:szCs w:val="20"/>
              </w:rPr>
              <w:t>R$ 100.000,00</w:t>
            </w:r>
          </w:p>
        </w:tc>
        <w:tc>
          <w:tcPr>
            <w:tcW w:w="25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69C132B0" w14:textId="77777777" w:rsidR="0003695D" w:rsidRPr="00D64202" w:rsidRDefault="00000000">
            <w:pPr>
              <w:jc w:val="center"/>
            </w:pPr>
            <w:r w:rsidRPr="00D64202">
              <w:rPr>
                <w:sz w:val="20"/>
                <w:szCs w:val="20"/>
              </w:rPr>
              <w:t>R$ 98.980,36</w:t>
            </w:r>
          </w:p>
        </w:tc>
      </w:tr>
      <w:tr w:rsidR="0003695D" w:rsidRPr="00D64202" w14:paraId="0EB179AA" w14:textId="77777777">
        <w:tblPrEx>
          <w:tblCellMar>
            <w:top w:w="0" w:type="dxa"/>
            <w:bottom w:w="0" w:type="dxa"/>
          </w:tblCellMar>
        </w:tblPrEx>
        <w:trPr>
          <w:jc w:val="center"/>
        </w:trPr>
        <w:tc>
          <w:tcPr>
            <w:tcW w:w="44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4917DA4D" w14:textId="77777777" w:rsidR="0003695D" w:rsidRPr="00D64202" w:rsidRDefault="00000000">
            <w:r w:rsidRPr="00D64202">
              <w:rPr>
                <w:sz w:val="20"/>
                <w:szCs w:val="20"/>
              </w:rPr>
              <w:t>PIS/</w:t>
            </w:r>
            <w:proofErr w:type="spellStart"/>
            <w:r w:rsidRPr="00D64202">
              <w:rPr>
                <w:sz w:val="20"/>
                <w:szCs w:val="20"/>
              </w:rPr>
              <w:t>Cofins</w:t>
            </w:r>
            <w:proofErr w:type="spellEnd"/>
            <w:r w:rsidRPr="00D64202">
              <w:rPr>
                <w:sz w:val="20"/>
                <w:szCs w:val="20"/>
              </w:rPr>
              <w:t xml:space="preserve"> embutidos (3,65%)</w:t>
            </w:r>
          </w:p>
        </w:tc>
        <w:tc>
          <w:tcPr>
            <w:tcW w:w="25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331EA074" w14:textId="77777777" w:rsidR="0003695D" w:rsidRPr="00D64202" w:rsidRDefault="00000000">
            <w:pPr>
              <w:jc w:val="center"/>
            </w:pPr>
            <w:r w:rsidRPr="00D64202">
              <w:rPr>
                <w:sz w:val="20"/>
                <w:szCs w:val="20"/>
              </w:rPr>
              <w:t>R$ 3.650,00</w:t>
            </w:r>
          </w:p>
        </w:tc>
        <w:tc>
          <w:tcPr>
            <w:tcW w:w="25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38FE4BDF" w14:textId="77777777" w:rsidR="0003695D" w:rsidRPr="00D64202" w:rsidRDefault="00000000">
            <w:pPr>
              <w:jc w:val="center"/>
            </w:pPr>
            <w:r w:rsidRPr="00D64202">
              <w:rPr>
                <w:sz w:val="20"/>
                <w:szCs w:val="20"/>
              </w:rPr>
              <w:t>-</w:t>
            </w:r>
          </w:p>
        </w:tc>
      </w:tr>
      <w:tr w:rsidR="0003695D" w:rsidRPr="00D64202" w14:paraId="5E1B3F7D" w14:textId="77777777">
        <w:tblPrEx>
          <w:tblCellMar>
            <w:top w:w="0" w:type="dxa"/>
            <w:bottom w:w="0" w:type="dxa"/>
          </w:tblCellMar>
        </w:tblPrEx>
        <w:trPr>
          <w:jc w:val="center"/>
        </w:trPr>
        <w:tc>
          <w:tcPr>
            <w:tcW w:w="44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49952575" w14:textId="77777777" w:rsidR="0003695D" w:rsidRPr="00D64202" w:rsidRDefault="00000000">
            <w:r w:rsidRPr="00D64202">
              <w:rPr>
                <w:sz w:val="20"/>
                <w:szCs w:val="20"/>
              </w:rPr>
              <w:t>Valor da locação (base da CBS/IBS)</w:t>
            </w:r>
          </w:p>
        </w:tc>
        <w:tc>
          <w:tcPr>
            <w:tcW w:w="25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79CAC3E8" w14:textId="77777777" w:rsidR="0003695D" w:rsidRPr="00D64202" w:rsidRDefault="00000000">
            <w:pPr>
              <w:jc w:val="center"/>
            </w:pPr>
            <w:r w:rsidRPr="00D64202">
              <w:rPr>
                <w:sz w:val="20"/>
                <w:szCs w:val="20"/>
              </w:rPr>
              <w:t>-</w:t>
            </w:r>
          </w:p>
        </w:tc>
        <w:tc>
          <w:tcPr>
            <w:tcW w:w="25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72CA8347" w14:textId="77777777" w:rsidR="0003695D" w:rsidRPr="00D64202" w:rsidRDefault="00000000">
            <w:pPr>
              <w:jc w:val="center"/>
            </w:pPr>
            <w:r w:rsidRPr="00D64202">
              <w:rPr>
                <w:sz w:val="20"/>
                <w:szCs w:val="20"/>
              </w:rPr>
              <w:t>R$ 96.350,00</w:t>
            </w:r>
          </w:p>
        </w:tc>
      </w:tr>
      <w:tr w:rsidR="0003695D" w:rsidRPr="00D64202" w14:paraId="41AADC39" w14:textId="77777777">
        <w:tblPrEx>
          <w:tblCellMar>
            <w:top w:w="0" w:type="dxa"/>
            <w:bottom w:w="0" w:type="dxa"/>
          </w:tblCellMar>
        </w:tblPrEx>
        <w:trPr>
          <w:jc w:val="center"/>
        </w:trPr>
        <w:tc>
          <w:tcPr>
            <w:tcW w:w="44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565F929F" w14:textId="77777777" w:rsidR="0003695D" w:rsidRPr="00D64202" w:rsidRDefault="00000000">
            <w:r w:rsidRPr="00D64202">
              <w:rPr>
                <w:sz w:val="20"/>
                <w:szCs w:val="20"/>
              </w:rPr>
              <w:t>CBS destacada (2,70%)</w:t>
            </w:r>
          </w:p>
        </w:tc>
        <w:tc>
          <w:tcPr>
            <w:tcW w:w="25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2B88D367" w14:textId="77777777" w:rsidR="0003695D" w:rsidRPr="00D64202" w:rsidRDefault="00000000">
            <w:pPr>
              <w:jc w:val="center"/>
            </w:pPr>
            <w:r w:rsidRPr="00D64202">
              <w:rPr>
                <w:sz w:val="20"/>
                <w:szCs w:val="20"/>
              </w:rPr>
              <w:t>-</w:t>
            </w:r>
          </w:p>
        </w:tc>
        <w:tc>
          <w:tcPr>
            <w:tcW w:w="25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3B22D0A3" w14:textId="77777777" w:rsidR="0003695D" w:rsidRPr="00D64202" w:rsidRDefault="00000000">
            <w:pPr>
              <w:jc w:val="center"/>
            </w:pPr>
            <w:r w:rsidRPr="00D64202">
              <w:rPr>
                <w:sz w:val="20"/>
                <w:szCs w:val="20"/>
              </w:rPr>
              <w:t>R$ 2.601,45</w:t>
            </w:r>
          </w:p>
        </w:tc>
      </w:tr>
      <w:tr w:rsidR="0003695D" w:rsidRPr="00D64202" w14:paraId="7B6E8FA9" w14:textId="77777777">
        <w:tblPrEx>
          <w:tblCellMar>
            <w:top w:w="0" w:type="dxa"/>
            <w:bottom w:w="0" w:type="dxa"/>
          </w:tblCellMar>
        </w:tblPrEx>
        <w:trPr>
          <w:jc w:val="center"/>
        </w:trPr>
        <w:tc>
          <w:tcPr>
            <w:tcW w:w="44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52CF5CD5" w14:textId="77777777" w:rsidR="0003695D" w:rsidRPr="00D64202" w:rsidRDefault="00000000">
            <w:r w:rsidRPr="00D64202">
              <w:rPr>
                <w:sz w:val="20"/>
                <w:szCs w:val="20"/>
              </w:rPr>
              <w:t>IBS destacado (0,03%)</w:t>
            </w:r>
          </w:p>
        </w:tc>
        <w:tc>
          <w:tcPr>
            <w:tcW w:w="25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78294752" w14:textId="77777777" w:rsidR="0003695D" w:rsidRPr="00D64202" w:rsidRDefault="00000000">
            <w:pPr>
              <w:jc w:val="center"/>
            </w:pPr>
            <w:r w:rsidRPr="00D64202">
              <w:rPr>
                <w:sz w:val="20"/>
                <w:szCs w:val="20"/>
              </w:rPr>
              <w:t>-</w:t>
            </w:r>
          </w:p>
        </w:tc>
        <w:tc>
          <w:tcPr>
            <w:tcW w:w="25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62A1FCDD" w14:textId="77777777" w:rsidR="0003695D" w:rsidRPr="00D64202" w:rsidRDefault="00000000">
            <w:pPr>
              <w:jc w:val="center"/>
            </w:pPr>
            <w:r w:rsidRPr="00D64202">
              <w:rPr>
                <w:sz w:val="20"/>
                <w:szCs w:val="20"/>
              </w:rPr>
              <w:t>R$ 28,91</w:t>
            </w:r>
          </w:p>
        </w:tc>
      </w:tr>
      <w:tr w:rsidR="0003695D" w:rsidRPr="00D64202" w14:paraId="6D789BA5" w14:textId="77777777">
        <w:tblPrEx>
          <w:tblCellMar>
            <w:top w:w="0" w:type="dxa"/>
            <w:bottom w:w="0" w:type="dxa"/>
          </w:tblCellMar>
        </w:tblPrEx>
        <w:trPr>
          <w:jc w:val="center"/>
        </w:trPr>
        <w:tc>
          <w:tcPr>
            <w:tcW w:w="44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5B8A3D61" w14:textId="77777777" w:rsidR="0003695D" w:rsidRPr="00D64202" w:rsidRDefault="00000000">
            <w:r w:rsidRPr="00D64202">
              <w:rPr>
                <w:sz w:val="20"/>
                <w:szCs w:val="20"/>
              </w:rPr>
              <w:t>Líquido da locadora</w:t>
            </w:r>
          </w:p>
        </w:tc>
        <w:tc>
          <w:tcPr>
            <w:tcW w:w="25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61619D29" w14:textId="77777777" w:rsidR="0003695D" w:rsidRPr="00D64202" w:rsidRDefault="00000000">
            <w:pPr>
              <w:jc w:val="center"/>
            </w:pPr>
            <w:r w:rsidRPr="00D64202">
              <w:rPr>
                <w:sz w:val="20"/>
                <w:szCs w:val="20"/>
              </w:rPr>
              <w:t>R$ 96.350,00</w:t>
            </w:r>
          </w:p>
        </w:tc>
        <w:tc>
          <w:tcPr>
            <w:tcW w:w="25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78D70F73" w14:textId="77777777" w:rsidR="0003695D" w:rsidRPr="00D64202" w:rsidRDefault="00000000">
            <w:pPr>
              <w:jc w:val="center"/>
            </w:pPr>
            <w:r w:rsidRPr="00D64202">
              <w:rPr>
                <w:sz w:val="20"/>
                <w:szCs w:val="20"/>
              </w:rPr>
              <w:t>R$ 96.350,00</w:t>
            </w:r>
          </w:p>
        </w:tc>
      </w:tr>
      <w:tr w:rsidR="0003695D" w:rsidRPr="00D64202" w14:paraId="369BD382" w14:textId="77777777">
        <w:tblPrEx>
          <w:tblCellMar>
            <w:top w:w="0" w:type="dxa"/>
            <w:bottom w:w="0" w:type="dxa"/>
          </w:tblCellMar>
        </w:tblPrEx>
        <w:trPr>
          <w:jc w:val="center"/>
        </w:trPr>
        <w:tc>
          <w:tcPr>
            <w:tcW w:w="44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46F8064C" w14:textId="77777777" w:rsidR="0003695D" w:rsidRPr="00D64202" w:rsidRDefault="00000000">
            <w:r w:rsidRPr="00D64202">
              <w:rPr>
                <w:sz w:val="20"/>
                <w:szCs w:val="20"/>
              </w:rPr>
              <w:t>Variação do desembolso do locatário</w:t>
            </w:r>
          </w:p>
        </w:tc>
        <w:tc>
          <w:tcPr>
            <w:tcW w:w="25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3416671B" w14:textId="77777777" w:rsidR="0003695D" w:rsidRPr="00D64202" w:rsidRDefault="00000000">
            <w:pPr>
              <w:jc w:val="center"/>
            </w:pPr>
            <w:r w:rsidRPr="00D64202">
              <w:rPr>
                <w:sz w:val="20"/>
                <w:szCs w:val="20"/>
              </w:rPr>
              <w:t>-</w:t>
            </w:r>
          </w:p>
        </w:tc>
        <w:tc>
          <w:tcPr>
            <w:tcW w:w="25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5A7E33F3" w14:textId="77777777" w:rsidR="0003695D" w:rsidRPr="00D64202" w:rsidRDefault="00000000">
            <w:pPr>
              <w:jc w:val="center"/>
            </w:pPr>
            <w:r w:rsidRPr="00D64202">
              <w:rPr>
                <w:sz w:val="20"/>
                <w:szCs w:val="20"/>
              </w:rPr>
              <w:t>-1,02%</w:t>
            </w:r>
          </w:p>
        </w:tc>
      </w:tr>
    </w:tbl>
    <w:p w14:paraId="130E0117" w14:textId="77777777" w:rsidR="0003695D" w:rsidRPr="00D64202" w:rsidRDefault="00000000">
      <w:pPr>
        <w:spacing w:before="80" w:after="200"/>
        <w:jc w:val="both"/>
      </w:pPr>
      <w:r w:rsidRPr="00D64202">
        <w:rPr>
          <w:i/>
          <w:iCs/>
          <w:sz w:val="18"/>
          <w:szCs w:val="18"/>
        </w:rPr>
        <w:t>Quadro 2. Ajuste neutro: a locadora preserva exatamente o líquido de hoje e a redução de carga passa ao locatário.</w:t>
      </w:r>
    </w:p>
    <w:p w14:paraId="1B4C812F" w14:textId="77777777" w:rsidR="0003695D" w:rsidRPr="00D64202" w:rsidRDefault="00000000">
      <w:pPr>
        <w:spacing w:after="140" w:line="288" w:lineRule="auto"/>
        <w:ind w:firstLine="1134"/>
        <w:jc w:val="both"/>
      </w:pPr>
      <w:r w:rsidRPr="00D64202">
        <w:t>A simples subtração de alíquotas (3,65% menos 2,7%) indicaria redução de 0,95%. A conta técnica, que considera o cálculo por fora, chega a uma redução de cerca de 1,02% no desembolso total. A diferença é pequena, mas deve ser adotada a forma técnica para evitar discussão posterior.</w:t>
      </w:r>
    </w:p>
    <w:p w14:paraId="6104B9E5" w14:textId="77777777" w:rsidR="0003695D" w:rsidRPr="00D64202" w:rsidRDefault="00000000">
      <w:pPr>
        <w:spacing w:after="140" w:line="288" w:lineRule="auto"/>
        <w:ind w:firstLine="1134"/>
        <w:jc w:val="both"/>
      </w:pPr>
      <w:r w:rsidRPr="00D64202">
        <w:t>O maior risco está na hipótese inversa. Se a locadora mantiver R$ 100.000,00 como valor da locação e acrescentar a CBS e o IBS por fora, o locatário passará a pagar cerca de R$ 102.730,00. A locadora terá aumento de 3,79% no seu líquido, sem fundamento contratual. Esse é o cenário que o princípio da neutralidade não admite.</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300"/>
        <w:gridCol w:w="2300"/>
        <w:gridCol w:w="2200"/>
      </w:tblGrid>
      <w:tr w:rsidR="0003695D" w:rsidRPr="00D64202" w14:paraId="21795BA7" w14:textId="77777777" w:rsidTr="00D64202">
        <w:tblPrEx>
          <w:tblCellMar>
            <w:top w:w="0" w:type="dxa"/>
            <w:bottom w:w="0" w:type="dxa"/>
          </w:tblCellMar>
        </w:tblPrEx>
        <w:trPr>
          <w:tblHeader/>
          <w:jc w:val="center"/>
        </w:trPr>
        <w:tc>
          <w:tcPr>
            <w:tcW w:w="26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0D5C6D85" w14:textId="77777777" w:rsidR="0003695D" w:rsidRPr="00D64202" w:rsidRDefault="00000000">
            <w:r w:rsidRPr="00D64202">
              <w:rPr>
                <w:b/>
                <w:bCs/>
                <w:sz w:val="20"/>
                <w:szCs w:val="20"/>
              </w:rPr>
              <w:t>Alíquota de referência</w:t>
            </w:r>
          </w:p>
        </w:tc>
        <w:tc>
          <w:tcPr>
            <w:tcW w:w="23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2DE24D4D" w14:textId="77777777" w:rsidR="0003695D" w:rsidRPr="00D64202" w:rsidRDefault="00000000">
            <w:pPr>
              <w:jc w:val="center"/>
            </w:pPr>
            <w:r w:rsidRPr="00D64202">
              <w:rPr>
                <w:b/>
                <w:bCs/>
                <w:sz w:val="20"/>
                <w:szCs w:val="20"/>
              </w:rPr>
              <w:t>CBS efetiva (30%)</w:t>
            </w:r>
          </w:p>
        </w:tc>
        <w:tc>
          <w:tcPr>
            <w:tcW w:w="23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5DBC4F79" w14:textId="77777777" w:rsidR="0003695D" w:rsidRPr="00D64202" w:rsidRDefault="00000000">
            <w:pPr>
              <w:jc w:val="center"/>
            </w:pPr>
            <w:r w:rsidRPr="00D64202">
              <w:rPr>
                <w:b/>
                <w:bCs/>
                <w:sz w:val="20"/>
                <w:szCs w:val="20"/>
              </w:rPr>
              <w:t>Aluguel neutro</w:t>
            </w:r>
          </w:p>
        </w:tc>
        <w:tc>
          <w:tcPr>
            <w:tcW w:w="2200" w:type="dxa"/>
            <w:tcBorders>
              <w:top w:val="single" w:sz="6" w:space="0" w:color="1F3864"/>
              <w:left w:val="single" w:sz="6" w:space="0" w:color="1F3864"/>
              <w:bottom w:val="single" w:sz="6" w:space="0" w:color="1F3864"/>
              <w:right w:val="single" w:sz="6" w:space="0" w:color="1F3864"/>
            </w:tcBorders>
            <w:shd w:val="clear" w:color="D9D9D9" w:fill="D9D9D9"/>
            <w:tcMar>
              <w:top w:w="60" w:type="dxa"/>
              <w:left w:w="100" w:type="dxa"/>
              <w:bottom w:w="60" w:type="dxa"/>
              <w:right w:w="100" w:type="dxa"/>
            </w:tcMar>
          </w:tcPr>
          <w:p w14:paraId="1C41C042" w14:textId="77777777" w:rsidR="0003695D" w:rsidRPr="00D64202" w:rsidRDefault="00000000">
            <w:pPr>
              <w:jc w:val="center"/>
            </w:pPr>
            <w:r w:rsidRPr="00D64202">
              <w:rPr>
                <w:b/>
                <w:bCs/>
                <w:sz w:val="20"/>
                <w:szCs w:val="20"/>
              </w:rPr>
              <w:t>Variação</w:t>
            </w:r>
          </w:p>
        </w:tc>
      </w:tr>
      <w:tr w:rsidR="0003695D" w:rsidRPr="00D64202" w14:paraId="3221BE28" w14:textId="77777777">
        <w:tblPrEx>
          <w:tblCellMar>
            <w:top w:w="0" w:type="dxa"/>
            <w:bottom w:w="0" w:type="dxa"/>
          </w:tblCellMar>
        </w:tblPrEx>
        <w:trPr>
          <w:jc w:val="center"/>
        </w:trPr>
        <w:tc>
          <w:tcPr>
            <w:tcW w:w="26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47BDC792" w14:textId="77777777" w:rsidR="0003695D" w:rsidRPr="00D64202" w:rsidRDefault="00000000">
            <w:r w:rsidRPr="00D64202">
              <w:rPr>
                <w:sz w:val="20"/>
                <w:szCs w:val="20"/>
              </w:rPr>
              <w:t>8,00%</w:t>
            </w:r>
          </w:p>
        </w:tc>
        <w:tc>
          <w:tcPr>
            <w:tcW w:w="23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569E04D4" w14:textId="77777777" w:rsidR="0003695D" w:rsidRPr="00D64202" w:rsidRDefault="00000000">
            <w:pPr>
              <w:jc w:val="center"/>
            </w:pPr>
            <w:r w:rsidRPr="00D64202">
              <w:rPr>
                <w:sz w:val="20"/>
                <w:szCs w:val="20"/>
              </w:rPr>
              <w:t>2,37%</w:t>
            </w:r>
          </w:p>
        </w:tc>
        <w:tc>
          <w:tcPr>
            <w:tcW w:w="23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072C1C39" w14:textId="77777777" w:rsidR="0003695D" w:rsidRPr="00D64202" w:rsidRDefault="00000000">
            <w:pPr>
              <w:jc w:val="center"/>
            </w:pPr>
            <w:r w:rsidRPr="00D64202">
              <w:rPr>
                <w:sz w:val="20"/>
                <w:szCs w:val="20"/>
              </w:rPr>
              <w:t>R$ 98.633,50</w:t>
            </w:r>
          </w:p>
        </w:tc>
        <w:tc>
          <w:tcPr>
            <w:tcW w:w="22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42437D11" w14:textId="77777777" w:rsidR="0003695D" w:rsidRPr="00D64202" w:rsidRDefault="00000000">
            <w:pPr>
              <w:jc w:val="center"/>
            </w:pPr>
            <w:r w:rsidRPr="00D64202">
              <w:rPr>
                <w:sz w:val="20"/>
                <w:szCs w:val="20"/>
              </w:rPr>
              <w:t>-1,37%</w:t>
            </w:r>
          </w:p>
        </w:tc>
      </w:tr>
      <w:tr w:rsidR="0003695D" w:rsidRPr="00D64202" w14:paraId="3186BDC3" w14:textId="77777777">
        <w:tblPrEx>
          <w:tblCellMar>
            <w:top w:w="0" w:type="dxa"/>
            <w:bottom w:w="0" w:type="dxa"/>
          </w:tblCellMar>
        </w:tblPrEx>
        <w:trPr>
          <w:jc w:val="center"/>
        </w:trPr>
        <w:tc>
          <w:tcPr>
            <w:tcW w:w="26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5388DB39" w14:textId="77777777" w:rsidR="0003695D" w:rsidRPr="00D64202" w:rsidRDefault="00000000">
            <w:r w:rsidRPr="00D64202">
              <w:rPr>
                <w:sz w:val="20"/>
                <w:szCs w:val="20"/>
              </w:rPr>
              <w:t>9,00%</w:t>
            </w:r>
          </w:p>
        </w:tc>
        <w:tc>
          <w:tcPr>
            <w:tcW w:w="23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444EF99E" w14:textId="77777777" w:rsidR="0003695D" w:rsidRPr="00D64202" w:rsidRDefault="00000000">
            <w:pPr>
              <w:jc w:val="center"/>
            </w:pPr>
            <w:r w:rsidRPr="00D64202">
              <w:rPr>
                <w:sz w:val="20"/>
                <w:szCs w:val="20"/>
              </w:rPr>
              <w:t>2,67%</w:t>
            </w:r>
          </w:p>
        </w:tc>
        <w:tc>
          <w:tcPr>
            <w:tcW w:w="23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24CAE90F" w14:textId="77777777" w:rsidR="0003695D" w:rsidRPr="00D64202" w:rsidRDefault="00000000">
            <w:pPr>
              <w:jc w:val="center"/>
            </w:pPr>
            <w:r w:rsidRPr="00D64202">
              <w:rPr>
                <w:sz w:val="20"/>
                <w:szCs w:val="20"/>
              </w:rPr>
              <w:t>R$ 98.922,54</w:t>
            </w:r>
          </w:p>
        </w:tc>
        <w:tc>
          <w:tcPr>
            <w:tcW w:w="22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175BA2F1" w14:textId="77777777" w:rsidR="0003695D" w:rsidRPr="00D64202" w:rsidRDefault="00000000">
            <w:pPr>
              <w:jc w:val="center"/>
            </w:pPr>
            <w:r w:rsidRPr="00D64202">
              <w:rPr>
                <w:sz w:val="20"/>
                <w:szCs w:val="20"/>
              </w:rPr>
              <w:t>-1,08%</w:t>
            </w:r>
          </w:p>
        </w:tc>
      </w:tr>
      <w:tr w:rsidR="0003695D" w:rsidRPr="00D64202" w14:paraId="5640C518" w14:textId="77777777">
        <w:tblPrEx>
          <w:tblCellMar>
            <w:top w:w="0" w:type="dxa"/>
            <w:bottom w:w="0" w:type="dxa"/>
          </w:tblCellMar>
        </w:tblPrEx>
        <w:trPr>
          <w:jc w:val="center"/>
        </w:trPr>
        <w:tc>
          <w:tcPr>
            <w:tcW w:w="26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192A9CE3" w14:textId="77777777" w:rsidR="0003695D" w:rsidRPr="00D64202" w:rsidRDefault="00000000">
            <w:r w:rsidRPr="00D64202">
              <w:rPr>
                <w:sz w:val="20"/>
                <w:szCs w:val="20"/>
              </w:rPr>
              <w:t>9,21%</w:t>
            </w:r>
          </w:p>
        </w:tc>
        <w:tc>
          <w:tcPr>
            <w:tcW w:w="23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12D1690A" w14:textId="77777777" w:rsidR="0003695D" w:rsidRPr="00D64202" w:rsidRDefault="00000000">
            <w:pPr>
              <w:jc w:val="center"/>
            </w:pPr>
            <w:r w:rsidRPr="00D64202">
              <w:rPr>
                <w:sz w:val="20"/>
                <w:szCs w:val="20"/>
              </w:rPr>
              <w:t>2,73%</w:t>
            </w:r>
          </w:p>
        </w:tc>
        <w:tc>
          <w:tcPr>
            <w:tcW w:w="23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06B75D6F" w14:textId="77777777" w:rsidR="0003695D" w:rsidRPr="00D64202" w:rsidRDefault="00000000">
            <w:pPr>
              <w:jc w:val="center"/>
            </w:pPr>
            <w:r w:rsidRPr="00D64202">
              <w:rPr>
                <w:sz w:val="20"/>
                <w:szCs w:val="20"/>
              </w:rPr>
              <w:t>R$ 98.983,25</w:t>
            </w:r>
          </w:p>
        </w:tc>
        <w:tc>
          <w:tcPr>
            <w:tcW w:w="2200" w:type="dxa"/>
            <w:tcBorders>
              <w:top w:val="single" w:sz="6" w:space="0" w:color="1F3864"/>
              <w:left w:val="single" w:sz="6" w:space="0" w:color="1F3864"/>
              <w:bottom w:val="single" w:sz="6" w:space="0" w:color="1F3864"/>
              <w:right w:val="single" w:sz="6" w:space="0" w:color="1F3864"/>
            </w:tcBorders>
            <w:tcMar>
              <w:top w:w="60" w:type="dxa"/>
              <w:left w:w="100" w:type="dxa"/>
              <w:bottom w:w="60" w:type="dxa"/>
              <w:right w:w="100" w:type="dxa"/>
            </w:tcMar>
          </w:tcPr>
          <w:p w14:paraId="438812A9" w14:textId="77777777" w:rsidR="0003695D" w:rsidRPr="00D64202" w:rsidRDefault="00000000">
            <w:pPr>
              <w:jc w:val="center"/>
            </w:pPr>
            <w:r w:rsidRPr="00D64202">
              <w:rPr>
                <w:sz w:val="20"/>
                <w:szCs w:val="20"/>
              </w:rPr>
              <w:t>-1,02%</w:t>
            </w:r>
          </w:p>
        </w:tc>
      </w:tr>
      <w:tr w:rsidR="0003695D" w:rsidRPr="00D64202" w14:paraId="5684013E" w14:textId="77777777">
        <w:tblPrEx>
          <w:tblCellMar>
            <w:top w:w="0" w:type="dxa"/>
            <w:bottom w:w="0" w:type="dxa"/>
          </w:tblCellMar>
        </w:tblPrEx>
        <w:trPr>
          <w:jc w:val="center"/>
        </w:trPr>
        <w:tc>
          <w:tcPr>
            <w:tcW w:w="26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0DD6128C" w14:textId="77777777" w:rsidR="0003695D" w:rsidRPr="00D64202" w:rsidRDefault="00000000">
            <w:r w:rsidRPr="00D64202">
              <w:rPr>
                <w:sz w:val="20"/>
                <w:szCs w:val="20"/>
              </w:rPr>
              <w:t>10,00%</w:t>
            </w:r>
          </w:p>
        </w:tc>
        <w:tc>
          <w:tcPr>
            <w:tcW w:w="23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68923CC1" w14:textId="77777777" w:rsidR="0003695D" w:rsidRPr="00D64202" w:rsidRDefault="00000000">
            <w:pPr>
              <w:jc w:val="center"/>
            </w:pPr>
            <w:r w:rsidRPr="00D64202">
              <w:rPr>
                <w:sz w:val="20"/>
                <w:szCs w:val="20"/>
              </w:rPr>
              <w:t>2,97%</w:t>
            </w:r>
          </w:p>
        </w:tc>
        <w:tc>
          <w:tcPr>
            <w:tcW w:w="23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4D31A549" w14:textId="77777777" w:rsidR="0003695D" w:rsidRPr="00D64202" w:rsidRDefault="00000000">
            <w:pPr>
              <w:jc w:val="center"/>
            </w:pPr>
            <w:r w:rsidRPr="00D64202">
              <w:rPr>
                <w:sz w:val="20"/>
                <w:szCs w:val="20"/>
              </w:rPr>
              <w:t>R$ 99.211,60</w:t>
            </w:r>
          </w:p>
        </w:tc>
        <w:tc>
          <w:tcPr>
            <w:tcW w:w="2200" w:type="dxa"/>
            <w:tcBorders>
              <w:top w:val="single" w:sz="6" w:space="0" w:color="1F3864"/>
              <w:left w:val="single" w:sz="6" w:space="0" w:color="1F3864"/>
              <w:bottom w:val="single" w:sz="6" w:space="0" w:color="1F3864"/>
              <w:right w:val="single" w:sz="6" w:space="0" w:color="1F3864"/>
            </w:tcBorders>
            <w:shd w:val="clear" w:color="auto" w:fill="DCE6F2"/>
            <w:tcMar>
              <w:top w:w="60" w:type="dxa"/>
              <w:left w:w="100" w:type="dxa"/>
              <w:bottom w:w="60" w:type="dxa"/>
              <w:right w:w="100" w:type="dxa"/>
            </w:tcMar>
          </w:tcPr>
          <w:p w14:paraId="049EADF3" w14:textId="77777777" w:rsidR="0003695D" w:rsidRPr="00D64202" w:rsidRDefault="00000000">
            <w:pPr>
              <w:jc w:val="center"/>
            </w:pPr>
            <w:r w:rsidRPr="00D64202">
              <w:rPr>
                <w:sz w:val="20"/>
                <w:szCs w:val="20"/>
              </w:rPr>
              <w:t>-0,79%</w:t>
            </w:r>
          </w:p>
        </w:tc>
      </w:tr>
    </w:tbl>
    <w:p w14:paraId="213089AF" w14:textId="77777777" w:rsidR="0003695D" w:rsidRPr="00D64202" w:rsidRDefault="00000000">
      <w:pPr>
        <w:spacing w:before="80" w:after="200"/>
        <w:jc w:val="both"/>
      </w:pPr>
      <w:r w:rsidRPr="00D64202">
        <w:rPr>
          <w:i/>
          <w:iCs/>
          <w:sz w:val="18"/>
          <w:szCs w:val="18"/>
        </w:rPr>
        <w:t xml:space="preserve">Quadro 3. Sensibilidade, com redução de 0,1 </w:t>
      </w:r>
      <w:proofErr w:type="spellStart"/>
      <w:r w:rsidRPr="00D64202">
        <w:rPr>
          <w:i/>
          <w:iCs/>
          <w:sz w:val="18"/>
          <w:szCs w:val="18"/>
        </w:rPr>
        <w:t>p.p</w:t>
      </w:r>
      <w:proofErr w:type="spellEnd"/>
      <w:r w:rsidRPr="00D64202">
        <w:rPr>
          <w:i/>
          <w:iCs/>
          <w:sz w:val="18"/>
          <w:szCs w:val="18"/>
        </w:rPr>
        <w:t>. do art. 127 do ADCT antes do redutor de 70%, sem IBS. Em todas as hipóteses plausíveis o aluguel neutro é inferior ao atual.</w:t>
      </w:r>
    </w:p>
    <w:p w14:paraId="5E1EB01A" w14:textId="77777777" w:rsidR="0003695D" w:rsidRPr="00D64202" w:rsidRDefault="00000000">
      <w:pPr>
        <w:keepNext/>
        <w:spacing w:before="480" w:after="360"/>
      </w:pPr>
      <w:r w:rsidRPr="00D64202">
        <w:rPr>
          <w:b/>
          <w:bCs/>
          <w:sz w:val="26"/>
          <w:szCs w:val="26"/>
        </w:rPr>
        <w:lastRenderedPageBreak/>
        <w:t>8. Pontos de atenção</w:t>
      </w:r>
    </w:p>
    <w:p w14:paraId="5A56B1C1" w14:textId="77777777" w:rsidR="0003695D" w:rsidRPr="00D64202" w:rsidRDefault="00000000">
      <w:pPr>
        <w:spacing w:after="100" w:line="288" w:lineRule="auto"/>
        <w:ind w:left="1134" w:hanging="340"/>
        <w:jc w:val="both"/>
      </w:pPr>
      <w:r w:rsidRPr="00D64202">
        <w:t xml:space="preserve">a) </w:t>
      </w:r>
      <w:r w:rsidRPr="00D64202">
        <w:rPr>
          <w:b/>
          <w:bCs/>
        </w:rPr>
        <w:t xml:space="preserve">Perfil do locatário. </w:t>
      </w:r>
      <w:r w:rsidRPr="00D64202">
        <w:t>O locatário contribuinte do regime regular poderá tomar crédito da CBS destacada (</w:t>
      </w:r>
      <w:proofErr w:type="spellStart"/>
      <w:r w:rsidRPr="00D64202">
        <w:t>arts</w:t>
      </w:r>
      <w:proofErr w:type="spellEnd"/>
      <w:r w:rsidRPr="00D64202">
        <w:t>. 47 e seguintes da LC 214/2025). O locatário do lucro real, porém, já se credita hoje de 9,25% de PIS/</w:t>
      </w:r>
      <w:proofErr w:type="spellStart"/>
      <w:r w:rsidRPr="00D64202">
        <w:t>Cofins</w:t>
      </w:r>
      <w:proofErr w:type="spellEnd"/>
      <w:r w:rsidRPr="00D64202">
        <w:t xml:space="preserve"> sobre aluguéis pagos a pessoa jurídica (art. 3º, IV, das Leis 10.637/2002 e 10.833/2003) e passará a se creditar apenas da CBS destacada. Seu custo líquido sobe, o que torna ainda mais legítimo o pleito de redução.</w:t>
      </w:r>
    </w:p>
    <w:p w14:paraId="4AEE30EC" w14:textId="77777777" w:rsidR="0003695D" w:rsidRPr="00D64202" w:rsidRDefault="00000000">
      <w:pPr>
        <w:spacing w:after="100" w:line="288" w:lineRule="auto"/>
        <w:ind w:left="1134" w:hanging="340"/>
        <w:jc w:val="both"/>
      </w:pPr>
      <w:r w:rsidRPr="00D64202">
        <w:t xml:space="preserve">b) </w:t>
      </w:r>
      <w:r w:rsidRPr="00D64202">
        <w:rPr>
          <w:b/>
          <w:bCs/>
        </w:rPr>
        <w:t xml:space="preserve">Regime opcional do art. 487. </w:t>
      </w:r>
      <w:r w:rsidRPr="00D64202">
        <w:t>Se o contrato foi firmado até 16 de janeiro de 2025 e cumpriu os requisitos de registro, a locadora pode optar por recolher IBS e CBS à razão de 3,65% sobre a receita bruta, sem créditos. Nessa hipótese a carga não cai e não há redução a repassar. Como o regime regular com redução de 70% é menos oneroso, essa opção tende a não ser vantajosa no cenário analisado.</w:t>
      </w:r>
    </w:p>
    <w:p w14:paraId="2ED7B895" w14:textId="77777777" w:rsidR="0003695D" w:rsidRPr="00D64202" w:rsidRDefault="00000000">
      <w:pPr>
        <w:spacing w:after="100" w:line="288" w:lineRule="auto"/>
        <w:ind w:left="1134" w:hanging="340"/>
        <w:jc w:val="both"/>
      </w:pPr>
      <w:r w:rsidRPr="00D64202">
        <w:t xml:space="preserve">c) </w:t>
      </w:r>
      <w:r w:rsidRPr="00D64202">
        <w:rPr>
          <w:b/>
          <w:bCs/>
        </w:rPr>
        <w:t xml:space="preserve">Locação residencial. </w:t>
      </w:r>
      <w:r w:rsidRPr="00D64202">
        <w:t>O redutor social de R$ 600,00 por imóvel (art. 260) reduz ainda mais a base e deve entrar no cálculo do aluguel neutro.</w:t>
      </w:r>
    </w:p>
    <w:p w14:paraId="24D106B8" w14:textId="77777777" w:rsidR="0003695D" w:rsidRPr="00D64202" w:rsidRDefault="00000000">
      <w:pPr>
        <w:spacing w:after="100" w:line="288" w:lineRule="auto"/>
        <w:ind w:left="1134" w:hanging="340"/>
        <w:jc w:val="both"/>
      </w:pPr>
      <w:r w:rsidRPr="00D64202">
        <w:t xml:space="preserve">d) </w:t>
      </w:r>
      <w:r w:rsidRPr="00D64202">
        <w:rPr>
          <w:b/>
          <w:bCs/>
        </w:rPr>
        <w:t xml:space="preserve">Formalização. </w:t>
      </w:r>
      <w:r w:rsidRPr="00D64202">
        <w:t>O ajuste deve ser feito por aditivo contratual, com memória de cálculo e cláusula de revisão para 2029, quando a carga voltará a subir com a entrada gradual do IBS.</w:t>
      </w:r>
    </w:p>
    <w:p w14:paraId="01FB8B7A" w14:textId="77777777" w:rsidR="0003695D" w:rsidRPr="00D64202" w:rsidRDefault="00000000">
      <w:pPr>
        <w:spacing w:after="100" w:line="288" w:lineRule="auto"/>
        <w:ind w:left="1134" w:hanging="340"/>
        <w:jc w:val="both"/>
      </w:pPr>
      <w:r w:rsidRPr="00D64202">
        <w:t xml:space="preserve">e) </w:t>
      </w:r>
      <w:r w:rsidRPr="00D64202">
        <w:rPr>
          <w:b/>
          <w:bCs/>
        </w:rPr>
        <w:t xml:space="preserve">Alíquota definitiva. </w:t>
      </w:r>
      <w:r w:rsidRPr="00D64202">
        <w:t>Como a alíquota de referência só será conhecida em dezembro de 2026, recomendamos que o aditivo adote fórmula, e não valor fixo, para acompanhar a alíquota efetivamente publicada.</w:t>
      </w:r>
    </w:p>
    <w:p w14:paraId="2A227780" w14:textId="77777777" w:rsidR="0003695D" w:rsidRPr="00D64202" w:rsidRDefault="00000000">
      <w:pPr>
        <w:keepNext/>
        <w:spacing w:before="480" w:after="360"/>
      </w:pPr>
      <w:r w:rsidRPr="00D64202">
        <w:rPr>
          <w:b/>
          <w:bCs/>
          <w:sz w:val="26"/>
          <w:szCs w:val="26"/>
        </w:rPr>
        <w:t>9. Conclusão</w:t>
      </w:r>
    </w:p>
    <w:p w14:paraId="074F3B7A" w14:textId="77777777" w:rsidR="0003695D" w:rsidRPr="00D64202" w:rsidRDefault="00000000">
      <w:pPr>
        <w:spacing w:after="140" w:line="288" w:lineRule="auto"/>
        <w:ind w:firstLine="1134"/>
        <w:jc w:val="both"/>
      </w:pPr>
      <w:r w:rsidRPr="00D64202">
        <w:t>Diante do exposto, concluímos que:</w:t>
      </w:r>
    </w:p>
    <w:p w14:paraId="05A976DD" w14:textId="77777777" w:rsidR="0003695D" w:rsidRPr="00D64202" w:rsidRDefault="00000000">
      <w:pPr>
        <w:spacing w:after="100" w:line="288" w:lineRule="auto"/>
        <w:ind w:left="1134" w:hanging="340"/>
        <w:jc w:val="both"/>
      </w:pPr>
      <w:r w:rsidRPr="00D64202">
        <w:t>i) em 2027 e 2028, a holding patrimonial do lucro presumido deixará de pagar 3,65% de PIS/</w:t>
      </w:r>
      <w:proofErr w:type="spellStart"/>
      <w:r w:rsidRPr="00D64202">
        <w:t>Cofins</w:t>
      </w:r>
      <w:proofErr w:type="spellEnd"/>
      <w:r w:rsidRPr="00D64202">
        <w:t xml:space="preserve"> e passará a recolher CBS com redução de 70%, com carga estimada de 2,7% (acrescida de IBS residual de 0,03%), portanto inferior à atual;</w:t>
      </w:r>
    </w:p>
    <w:p w14:paraId="5141B0F6" w14:textId="77777777" w:rsidR="0003695D" w:rsidRPr="00D64202" w:rsidRDefault="00000000">
      <w:pPr>
        <w:spacing w:after="100" w:line="288" w:lineRule="auto"/>
        <w:ind w:left="1134" w:hanging="340"/>
        <w:jc w:val="both"/>
      </w:pPr>
      <w:proofErr w:type="spellStart"/>
      <w:r w:rsidRPr="00D64202">
        <w:t>ii</w:t>
      </w:r>
      <w:proofErr w:type="spellEnd"/>
      <w:r w:rsidRPr="00D64202">
        <w:t>) a legislação trata o tema de modo singelo. Não há regra objetiva, na EC 132/2023, na LC 214/2025 ou nos atos regulamentares, que imponha a revisão de aluguéis em contratos privados. O reequilíbrio legal existe apenas para contratos administrativos;</w:t>
      </w:r>
    </w:p>
    <w:p w14:paraId="602E9B71" w14:textId="77777777" w:rsidR="0003695D" w:rsidRPr="00D64202" w:rsidRDefault="00000000">
      <w:pPr>
        <w:spacing w:after="100" w:line="288" w:lineRule="auto"/>
        <w:ind w:left="1134" w:hanging="340"/>
        <w:jc w:val="both"/>
      </w:pPr>
      <w:proofErr w:type="spellStart"/>
      <w:r w:rsidRPr="00D64202">
        <w:lastRenderedPageBreak/>
        <w:t>iii</w:t>
      </w:r>
      <w:proofErr w:type="spellEnd"/>
      <w:r w:rsidRPr="00D64202">
        <w:t>) o princípio da neutralidade (art. 156-A, § 1º, da Constituição e art. 2º da LC 214/2025), somado à boa-fé objetiva e à vedação ao enriquecimento sem causa, sustenta que a desoneração seja refletida no preço;</w:t>
      </w:r>
    </w:p>
    <w:p w14:paraId="770E223A" w14:textId="77777777" w:rsidR="0003695D" w:rsidRPr="00D64202" w:rsidRDefault="00000000">
      <w:pPr>
        <w:spacing w:after="100" w:line="288" w:lineRule="auto"/>
        <w:ind w:left="1134" w:hanging="340"/>
        <w:jc w:val="both"/>
      </w:pPr>
      <w:proofErr w:type="spellStart"/>
      <w:r w:rsidRPr="00D64202">
        <w:t>iv</w:t>
      </w:r>
      <w:proofErr w:type="spellEnd"/>
      <w:r w:rsidRPr="00D64202">
        <w:t>) o ajuste deve ser negociado entre locadores e locatários e formalizado por aditivo. Entendemos que o justo é reduzir o aluguel na exata medida da redução da carga, preservando o líquido atual da locadora, o que representa redução próxima de 1% no desembolso total do locatário na premissa de 9%;</w:t>
      </w:r>
    </w:p>
    <w:p w14:paraId="744405A6" w14:textId="77777777" w:rsidR="0003695D" w:rsidRPr="00D64202" w:rsidRDefault="00000000">
      <w:pPr>
        <w:spacing w:after="100" w:line="288" w:lineRule="auto"/>
        <w:ind w:left="1134" w:hanging="340"/>
        <w:jc w:val="both"/>
      </w:pPr>
      <w:r w:rsidRPr="00D64202">
        <w:t xml:space="preserve">v) a manutenção do valor atual com acréscimo da CBS por fora não </w:t>
      </w:r>
      <w:proofErr w:type="gramStart"/>
      <w:r w:rsidRPr="00D64202">
        <w:t>encontra</w:t>
      </w:r>
      <w:proofErr w:type="gramEnd"/>
      <w:r w:rsidRPr="00D64202">
        <w:t xml:space="preserve"> amparo e deve ser evitada;</w:t>
      </w:r>
    </w:p>
    <w:p w14:paraId="7099B7CC" w14:textId="77777777" w:rsidR="0003695D" w:rsidRPr="00D64202" w:rsidRDefault="00000000">
      <w:pPr>
        <w:spacing w:after="100" w:line="288" w:lineRule="auto"/>
        <w:ind w:left="1134" w:hanging="340"/>
        <w:jc w:val="both"/>
      </w:pPr>
      <w:r w:rsidRPr="00D64202">
        <w:t>vi) o cenário a partir de 2029 será diferente e será objeto de novo estudo.</w:t>
      </w:r>
    </w:p>
    <w:p w14:paraId="542D0F1C" w14:textId="77777777" w:rsidR="0003695D" w:rsidRPr="00D64202" w:rsidRDefault="00000000">
      <w:pPr>
        <w:spacing w:after="140" w:line="288" w:lineRule="auto"/>
        <w:ind w:firstLine="1134"/>
        <w:jc w:val="both"/>
      </w:pPr>
      <w:r w:rsidRPr="00D64202">
        <w:t>É o parecer, salvo melhor juízo.</w:t>
      </w:r>
    </w:p>
    <w:p w14:paraId="5FA984B4" w14:textId="77777777" w:rsidR="0003695D" w:rsidRPr="00D64202" w:rsidRDefault="00000000">
      <w:pPr>
        <w:spacing w:before="360" w:after="720"/>
        <w:jc w:val="center"/>
      </w:pPr>
      <w:r w:rsidRPr="00D64202">
        <w:t>São Paulo, 27 de setembro de 2026</w:t>
      </w:r>
    </w:p>
    <w:p w14:paraId="0554DDF0" w14:textId="77777777" w:rsidR="0003695D" w:rsidRPr="00D64202" w:rsidRDefault="00000000">
      <w:pPr>
        <w:jc w:val="center"/>
      </w:pPr>
      <w:r w:rsidRPr="00D64202">
        <w:rPr>
          <w:b/>
          <w:bCs/>
        </w:rPr>
        <w:t>Piraci Oliveira - OAB/SP 200.270</w:t>
      </w:r>
    </w:p>
    <w:sectPr w:rsidR="0003695D" w:rsidRPr="00D64202">
      <w:headerReference w:type="even" r:id="rId7"/>
      <w:headerReference w:type="default" r:id="rId8"/>
      <w:footerReference w:type="even" r:id="rId9"/>
      <w:footerReference w:type="default" r:id="rId10"/>
      <w:headerReference w:type="first" r:id="rId11"/>
      <w:footerReference w:type="first" r:id="rId12"/>
      <w:pgSz w:w="11906" w:h="16838"/>
      <w:pgMar w:top="1700" w:right="1134" w:bottom="1300" w:left="1700" w:header="6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B93BEB" w14:textId="77777777" w:rsidR="001A6192" w:rsidRDefault="001A6192">
      <w:r>
        <w:separator/>
      </w:r>
    </w:p>
  </w:endnote>
  <w:endnote w:type="continuationSeparator" w:id="0">
    <w:p w14:paraId="55717BE9" w14:textId="77777777" w:rsidR="001A6192" w:rsidRDefault="001A6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4B6FA1" w14:textId="77777777" w:rsidR="00D64202" w:rsidRPr="00D64202" w:rsidRDefault="00D6420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7E0CE8" w14:textId="77777777" w:rsidR="0003695D" w:rsidRPr="00D64202" w:rsidRDefault="00000000">
    <w:pPr>
      <w:pBdr>
        <w:top w:val="single" w:sz="6" w:space="4" w:color="000000"/>
      </w:pBdr>
      <w:jc w:val="center"/>
    </w:pPr>
    <w:r w:rsidRPr="00D64202">
      <w:rPr>
        <w:sz w:val="18"/>
        <w:szCs w:val="18"/>
      </w:rPr>
      <w:t xml:space="preserve">piraci@piraci.com.br / </w:t>
    </w:r>
    <w:proofErr w:type="spellStart"/>
    <w:proofErr w:type="gramStart"/>
    <w:r w:rsidRPr="00D64202">
      <w:rPr>
        <w:sz w:val="18"/>
        <w:szCs w:val="18"/>
      </w:rPr>
      <w:t>piraciadv.blog</w:t>
    </w:r>
    <w:proofErr w:type="spellEnd"/>
    <w:proofErr w:type="gramEnd"/>
    <w:r w:rsidRPr="00D64202">
      <w:rPr>
        <w:sz w:val="18"/>
        <w:szCs w:val="18"/>
      </w:rPr>
      <w:t xml:space="preserve"> / </w:t>
    </w:r>
    <w:proofErr w:type="spellStart"/>
    <w:r w:rsidRPr="00D64202">
      <w:rPr>
        <w:sz w:val="18"/>
        <w:szCs w:val="18"/>
      </w:rPr>
      <w:t>piracioliveira</w:t>
    </w:r>
    <w:proofErr w:type="spellEnd"/>
    <w:r w:rsidRPr="00D64202">
      <w:rPr>
        <w:sz w:val="18"/>
        <w:szCs w:val="18"/>
      </w:rPr>
      <w:t xml:space="preserve"> (</w:t>
    </w:r>
    <w:proofErr w:type="spellStart"/>
    <w:proofErr w:type="gramStart"/>
    <w:r w:rsidRPr="00D64202">
      <w:rPr>
        <w:sz w:val="18"/>
        <w:szCs w:val="18"/>
      </w:rPr>
      <w:t>instagram</w:t>
    </w:r>
    <w:proofErr w:type="spellEnd"/>
    <w:r w:rsidRPr="00D64202">
      <w:rPr>
        <w:sz w:val="18"/>
        <w:szCs w:val="18"/>
      </w:rPr>
      <w:t xml:space="preserve">)   </w:t>
    </w:r>
    <w:proofErr w:type="gramEnd"/>
    <w:r w:rsidRPr="00D64202">
      <w:rPr>
        <w:sz w:val="18"/>
        <w:szCs w:val="18"/>
      </w:rPr>
      <w:t xml:space="preserve">  |     </w:t>
    </w:r>
    <w:r w:rsidRPr="00D64202">
      <w:rPr>
        <w:sz w:val="18"/>
        <w:szCs w:val="18"/>
      </w:rPr>
      <w:fldChar w:fldCharType="begin"/>
    </w:r>
    <w:r w:rsidRPr="00D64202">
      <w:rPr>
        <w:sz w:val="18"/>
        <w:szCs w:val="18"/>
      </w:rPr>
      <w:instrText>PAGE</w:instrText>
    </w:r>
    <w:r w:rsidRPr="00D64202">
      <w:rPr>
        <w:sz w:val="18"/>
        <w:szCs w:val="18"/>
      </w:rPr>
      <w:fldChar w:fldCharType="separate"/>
    </w:r>
    <w:r w:rsidR="00D64202" w:rsidRPr="00D64202">
      <w:rPr>
        <w:noProof/>
        <w:sz w:val="18"/>
        <w:szCs w:val="18"/>
      </w:rPr>
      <w:t>1</w:t>
    </w:r>
    <w:r w:rsidRPr="00D64202">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52482B" w14:textId="77777777" w:rsidR="00D64202" w:rsidRPr="00D64202" w:rsidRDefault="00D6420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0B7437" w14:textId="77777777" w:rsidR="001A6192" w:rsidRDefault="001A6192">
      <w:r>
        <w:separator/>
      </w:r>
    </w:p>
  </w:footnote>
  <w:footnote w:type="continuationSeparator" w:id="0">
    <w:p w14:paraId="0E8E05B2" w14:textId="77777777" w:rsidR="001A6192" w:rsidRDefault="001A6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8D0EC9" w14:textId="77777777" w:rsidR="00D64202" w:rsidRPr="00D64202" w:rsidRDefault="00D6420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91C0D" w14:textId="77777777" w:rsidR="0003695D" w:rsidRPr="00D64202" w:rsidRDefault="00000000">
    <w:pPr>
      <w:jc w:val="center"/>
    </w:pPr>
    <w:r w:rsidRPr="00D64202">
      <w:rPr>
        <w:b/>
        <w:bCs/>
        <w:spacing w:val="60"/>
        <w:sz w:val="34"/>
        <w:szCs w:val="34"/>
      </w:rPr>
      <w:t>PIRACI OLIVEIRA</w:t>
    </w:r>
  </w:p>
  <w:p w14:paraId="0165FC03" w14:textId="77777777" w:rsidR="0003695D" w:rsidRPr="00D64202" w:rsidRDefault="00000000">
    <w:pPr>
      <w:pBdr>
        <w:bottom w:val="single" w:sz="8" w:space="6" w:color="000000"/>
      </w:pBdr>
      <w:spacing w:after="120"/>
      <w:jc w:val="center"/>
    </w:pPr>
    <w:r w:rsidRPr="00D64202">
      <w:rPr>
        <w:spacing w:val="80"/>
        <w:sz w:val="18"/>
        <w:szCs w:val="18"/>
      </w:rPr>
      <w:t>SOCIEDADE DE ADVOGADOS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978CD4" w14:textId="77777777" w:rsidR="00D64202" w:rsidRPr="00D64202" w:rsidRDefault="00D6420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015611"/>
    <w:multiLevelType w:val="hybridMultilevel"/>
    <w:tmpl w:val="49165BDA"/>
    <w:lvl w:ilvl="0" w:tplc="4A4A5682">
      <w:start w:val="1"/>
      <w:numFmt w:val="bullet"/>
      <w:lvlText w:val="●"/>
      <w:lvlJc w:val="left"/>
      <w:pPr>
        <w:ind w:left="720" w:hanging="360"/>
      </w:pPr>
    </w:lvl>
    <w:lvl w:ilvl="1" w:tplc="3134E696">
      <w:start w:val="1"/>
      <w:numFmt w:val="bullet"/>
      <w:lvlText w:val="○"/>
      <w:lvlJc w:val="left"/>
      <w:pPr>
        <w:ind w:left="1440" w:hanging="360"/>
      </w:pPr>
    </w:lvl>
    <w:lvl w:ilvl="2" w:tplc="925EA66A">
      <w:start w:val="1"/>
      <w:numFmt w:val="bullet"/>
      <w:lvlText w:val="■"/>
      <w:lvlJc w:val="left"/>
      <w:pPr>
        <w:ind w:left="2160" w:hanging="360"/>
      </w:pPr>
    </w:lvl>
    <w:lvl w:ilvl="3" w:tplc="CD26C9DC">
      <w:start w:val="1"/>
      <w:numFmt w:val="bullet"/>
      <w:lvlText w:val="●"/>
      <w:lvlJc w:val="left"/>
      <w:pPr>
        <w:ind w:left="2880" w:hanging="360"/>
      </w:pPr>
    </w:lvl>
    <w:lvl w:ilvl="4" w:tplc="B48A8F70">
      <w:start w:val="1"/>
      <w:numFmt w:val="bullet"/>
      <w:lvlText w:val="○"/>
      <w:lvlJc w:val="left"/>
      <w:pPr>
        <w:ind w:left="3600" w:hanging="360"/>
      </w:pPr>
    </w:lvl>
    <w:lvl w:ilvl="5" w:tplc="58423F10">
      <w:start w:val="1"/>
      <w:numFmt w:val="bullet"/>
      <w:lvlText w:val="■"/>
      <w:lvlJc w:val="left"/>
      <w:pPr>
        <w:ind w:left="4320" w:hanging="360"/>
      </w:pPr>
    </w:lvl>
    <w:lvl w:ilvl="6" w:tplc="D1181A6C">
      <w:start w:val="1"/>
      <w:numFmt w:val="bullet"/>
      <w:lvlText w:val="●"/>
      <w:lvlJc w:val="left"/>
      <w:pPr>
        <w:ind w:left="5040" w:hanging="360"/>
      </w:pPr>
    </w:lvl>
    <w:lvl w:ilvl="7" w:tplc="E026D4D8">
      <w:start w:val="1"/>
      <w:numFmt w:val="bullet"/>
      <w:lvlText w:val="●"/>
      <w:lvlJc w:val="left"/>
      <w:pPr>
        <w:ind w:left="5760" w:hanging="360"/>
      </w:pPr>
    </w:lvl>
    <w:lvl w:ilvl="8" w:tplc="16BCB270">
      <w:start w:val="1"/>
      <w:numFmt w:val="bullet"/>
      <w:lvlText w:val="●"/>
      <w:lvlJc w:val="left"/>
      <w:pPr>
        <w:ind w:left="6480" w:hanging="360"/>
      </w:pPr>
    </w:lvl>
  </w:abstractNum>
  <w:num w:numId="1" w16cid:durableId="185638309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95D"/>
    <w:rsid w:val="0003695D"/>
    <w:rsid w:val="001A6192"/>
    <w:rsid w:val="002B2D79"/>
    <w:rsid w:val="00D642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58C4DE5F"/>
  <w15:docId w15:val="{05DB9D33-300F-324E-8C8B-578C02517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alatino Linotype" w:eastAsia="Palatino Linotype" w:hAnsi="Palatino Linotype" w:cs="Palatino Linotype"/>
        <w:color w:val="000000"/>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 w:type="paragraph" w:styleId="Cabealho">
    <w:name w:val="header"/>
    <w:basedOn w:val="Normal"/>
    <w:link w:val="CabealhoChar"/>
    <w:uiPriority w:val="99"/>
    <w:unhideWhenUsed/>
    <w:rsid w:val="00D64202"/>
    <w:pPr>
      <w:tabs>
        <w:tab w:val="center" w:pos="4252"/>
        <w:tab w:val="right" w:pos="8504"/>
      </w:tabs>
    </w:pPr>
  </w:style>
  <w:style w:type="character" w:customStyle="1" w:styleId="CabealhoChar">
    <w:name w:val="Cabeçalho Char"/>
    <w:basedOn w:val="Fontepargpadro"/>
    <w:link w:val="Cabealho"/>
    <w:uiPriority w:val="99"/>
    <w:rsid w:val="00D64202"/>
  </w:style>
  <w:style w:type="paragraph" w:styleId="Rodap">
    <w:name w:val="footer"/>
    <w:basedOn w:val="Normal"/>
    <w:link w:val="RodapChar"/>
    <w:uiPriority w:val="99"/>
    <w:unhideWhenUsed/>
    <w:rsid w:val="00D64202"/>
    <w:pPr>
      <w:tabs>
        <w:tab w:val="center" w:pos="4252"/>
        <w:tab w:val="right" w:pos="8504"/>
      </w:tabs>
    </w:pPr>
  </w:style>
  <w:style w:type="character" w:customStyle="1" w:styleId="RodapChar">
    <w:name w:val="Rodapé Char"/>
    <w:basedOn w:val="Fontepargpadro"/>
    <w:link w:val="Rodap"/>
    <w:uiPriority w:val="99"/>
    <w:rsid w:val="00D64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EE51E8-A088-A249-840E-7D88809A962B}">
  <we:reference id="wa200010725" version="1.0.0.1" store="pt-BR" storeType="OMEX"/>
  <we:alternateReferences>
    <we:reference id="WA200010725" version="1.0.0.1" store="" storeType="OMEX"/>
  </we:alternateReferences>
  <we:properties>
    <we:property name="claude.fileId" value="&quot;7fca726a-889d-4470-8912-30f67d04a126&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TotalTime>
  <Pages>7</Pages>
  <Words>2169</Words>
  <Characters>10394</Characters>
  <Application>Microsoft Office Word</Application>
  <DocSecurity>0</DocSecurity>
  <Lines>247</Lines>
  <Paragraphs>151</Paragraphs>
  <ScaleCrop>false</ScaleCrop>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Piraci Ubiratan</cp:lastModifiedBy>
  <cp:revision>2</cp:revision>
  <dcterms:created xsi:type="dcterms:W3CDTF">2026-09-27T03:43:00Z</dcterms:created>
  <dcterms:modified xsi:type="dcterms:W3CDTF">2026-09-27T03:43:00Z</dcterms:modified>
</cp:coreProperties>
</file>