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52030F" w14:textId="77777777" w:rsidR="006A2011" w:rsidRPr="006A2011" w:rsidRDefault="006A2011" w:rsidP="006A20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t-BR"/>
          <w14:ligatures w14:val="none"/>
        </w:rPr>
        <w:t>CLÁUSULA [__] – DA RECOMPOSIÇÃO DO PREÇO EM DECORRÊNCIA DA REFORMA TRIBUTÁRIA</w:t>
      </w:r>
    </w:p>
    <w:p w14:paraId="564C2306" w14:textId="14841455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[__].1.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Partes reconhecem que o preço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vigente foi calculado com base na apuração da Contribuição para o PIS/Pasep e da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existente em 2026, na sistemática "por dentro"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</w:t>
      </w:r>
    </w:p>
    <w:p w14:paraId="41E88F72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[__].2.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As Partes reconhecem, ainda, que:</w:t>
      </w:r>
    </w:p>
    <w:p w14:paraId="11D3E255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(i) a Emenda Constitucional nº 132/2023 e a Lei Complementar nº 214/2025 extinguem a Contribuição para o PIS/Pasep e 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partir de 1º de janeiro de 2027 e instituem a Contribuição sobre Bens e Serviços (CBS) e o Imposto sobre Bens e Serviços (IBS). Esses tributos são cobrados "por fora" do preço, não integram a própria base de cálculo e devem ser destacados no documento fiscal;</w:t>
      </w:r>
    </w:p>
    <w:p w14:paraId="089E8929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ii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 o art. 2º da Lei Complementar nº 214/2025 consagra o princípio da neutralidade, segundo o qual a CBS e o IBS não devem distorcer as decisões de consumo e de organização da atividade econômica;</w:t>
      </w:r>
    </w:p>
    <w:p w14:paraId="450098CD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iii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 o art. 145, § 3º, da Constituição Federal impõe a observância da transparência ao Sistema Tributário Nacional, e o art. 21 da Emenda Constitucional nº 132/2023 admite instrumentos de ajuste nos contratos em razão da substituição dos tributos;</w:t>
      </w:r>
    </w:p>
    <w:p w14:paraId="42F2BF13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iv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) a substituição dos tributos altera a composição do preço por fato alheio à vontade das Partes. Por isso, com fundamento nos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arts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421 e 421-A do Código Civil, as Partes alocam desde já os efeitos dessa alteração na forma desta Cláusula, independentemente da caracterização de onerosidade excessiva ou de imprevisibilidade (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arts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. 317 e 478 a 480 do Código Civil).</w:t>
      </w:r>
    </w:p>
    <w:p w14:paraId="75990421" w14:textId="1CAD9B2A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partir de 1º de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janei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ro de 2027, o preço dos serviços será recomposto em duas etapas:</w:t>
      </w:r>
    </w:p>
    <w:p w14:paraId="0A406A17" w14:textId="737F8EFC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(a) será excluído do preço vigente em 31 de dezembro de 2026 o valor correspondente à Contribuição para o PIS/Pasep e à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nele 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integradas, pela alíquota conjunta a que a CONTRATADA estava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sujeita em 2026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6432B0D2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(b) sobre o valor resultante serão acrescidos a CBS e o IBS devidos na operação, pelas alíquotas vigentes na data do fato gerador e sobre a base de cálculo definida na Lei Complementar nº 214/2025, com o respectivo destaque no documento fiscal.</w:t>
      </w:r>
    </w:p>
    <w:p w14:paraId="07B65889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[__].3.1.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recomposição observará as seguintes fórmulas:</w:t>
      </w:r>
    </w:p>
    <w:p w14:paraId="796F36FD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PL = PV × (1 – A)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br/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VT = PL + (PL × B)</w:t>
      </w:r>
    </w:p>
    <w:p w14:paraId="3A9D8318" w14:textId="27A8B54A" w:rsidR="006A2011" w:rsidRPr="006A2011" w:rsidRDefault="00101CBE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Em que</w:t>
      </w:r>
      <w:r w:rsidR="006A2011"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:</w:t>
      </w:r>
    </w:p>
    <w:p w14:paraId="47BAFADF" w14:textId="77777777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lastRenderedPageBreak/>
        <w:t>PV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preço vigente em 31/12/2026, já considerados os reajustes ordinários contratuais;</w:t>
      </w:r>
    </w:p>
    <w:p w14:paraId="6B371DF7" w14:textId="15873A3E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A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a alíquota conjunta da Contribuição para o PIS/Pasep e da </w:t>
      </w:r>
      <w:proofErr w:type="spellStart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Cofins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que a CONTRATADA estava sujeita em 2026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;</w:t>
      </w:r>
    </w:p>
    <w:p w14:paraId="3C858E95" w14:textId="77777777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PL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preço líquido de tributos sobre a receita substituídos;</w:t>
      </w:r>
    </w:p>
    <w:p w14:paraId="6ABBBBB9" w14:textId="19717C9E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B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a soma das alíquotas de CBS e IBS aplicáveis à operação, 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consideradas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eventuais reduções 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decorrentes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de regime diferenciado a que a CONTRATADA faça jus;</w:t>
      </w:r>
    </w:p>
    <w:p w14:paraId="3F1DA0FE" w14:textId="77777777" w:rsidR="006A2011" w:rsidRPr="006A2011" w:rsidRDefault="006A2011" w:rsidP="006A201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VT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é o valor total devido pela CONTRATANTE.</w:t>
      </w:r>
    </w:p>
    <w:p w14:paraId="6EB6029E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[__].3.2.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recomposição prevista nesta Cláusula tem natureza de reequilíbrio econômico-financeiro. Ela não se confunde com o reajuste ordinário previsto na Cláusula [__] e com ele se aplica cumulativamente.</w:t>
      </w:r>
    </w:p>
    <w:p w14:paraId="34501A7A" w14:textId="4B450E05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[__].4. Durante o período de transição (2027 a 2033), o valor total será recalculado automaticamente, para mais ou para menos, sempre que houver:</w:t>
      </w:r>
    </w:p>
    <w:p w14:paraId="00147B36" w14:textId="77777777" w:rsidR="006A2011" w:rsidRPr="006A2011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alteração das alíquotas de CBS ou IBS;</w:t>
      </w:r>
    </w:p>
    <w:p w14:paraId="2CC785A2" w14:textId="77777777" w:rsidR="006A2011" w:rsidRPr="006A2011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redução gradual das alíquotas do ISS [e do ICMS];</w:t>
      </w:r>
    </w:p>
    <w:p w14:paraId="7D5E6879" w14:textId="77777777" w:rsidR="006A2011" w:rsidRPr="006A2011" w:rsidRDefault="006A2011" w:rsidP="006A20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enquadramento da operação em regime diferenciado.</w:t>
      </w:r>
    </w:p>
    <w:p w14:paraId="29DAE285" w14:textId="7777777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O objetivo é preservar a equação econômico-financeira original e a neutralidade de que trata o item [__].2.</w:t>
      </w:r>
    </w:p>
    <w:p w14:paraId="4D30C5D5" w14:textId="38D43F99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5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CONTRATANTE declara ter ciência de que a CBS e o IBS destacados</w:t>
      </w:r>
      <w:r w:rsidR="00101CBE" w:rsidRP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cujos débitos tenham sido efetivamente extintos,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dão direito a crédito ao adquirente sujeito ao regime regular, na forma da Lei Complementar nº 214/2025.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Isso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vale 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inclusive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quando o recolhimento ocorrer na liquidação financeira da operação (</w:t>
      </w:r>
      <w:r w:rsidRPr="006A2011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 xml:space="preserve">split </w:t>
      </w:r>
      <w:proofErr w:type="spellStart"/>
      <w:r w:rsidRPr="006A2011">
        <w:rPr>
          <w:rFonts w:ascii="Times New Roman" w:eastAsia="Times New Roman" w:hAnsi="Times New Roman" w:cs="Times New Roman"/>
          <w:i/>
          <w:iCs/>
          <w:kern w:val="0"/>
          <w:lang w:eastAsia="pt-BR"/>
          <w14:ligatures w14:val="none"/>
        </w:rPr>
        <w:t>payment</w:t>
      </w:r>
      <w:proofErr w:type="spellEnd"/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), o que não altera o valor total devido nos termos desta Cláusula.</w:t>
      </w:r>
    </w:p>
    <w:p w14:paraId="63225B16" w14:textId="628EC242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6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A CONTRATADA encaminhará à CONTRATANTE, com antecedência mínima de 30 (trinta) dias da primeira fatura recomposta e de cada recálculo previsto no item [__].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4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, memória de cálculo com as alíquotas, as bases e os dispositivos legais aplicados.</w:t>
      </w:r>
    </w:p>
    <w:p w14:paraId="380D4B9C" w14:textId="6C515AB7" w:rsidR="006A2011" w:rsidRPr="006A2011" w:rsidRDefault="006A2011" w:rsidP="006A201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t-BR"/>
          <w14:ligatures w14:val="none"/>
        </w:rPr>
      </w:pP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[__].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7</w:t>
      </w:r>
      <w:r w:rsidRPr="006A2011">
        <w:rPr>
          <w:rFonts w:ascii="Times New Roman" w:eastAsia="Times New Roman" w:hAnsi="Times New Roman" w:cs="Times New Roman"/>
          <w:b/>
          <w:bCs/>
          <w:kern w:val="0"/>
          <w:lang w:eastAsia="pt-BR"/>
          <w14:ligatures w14:val="none"/>
        </w:rPr>
        <w:t>.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Havendo divergência quanto ao cálculo, a CONTRATANTE pagará a parcela incontroversa no vencimento. A parcela controvertida será submetida ao procedimento de solução de controvérsias</w:t>
      </w:r>
      <w:r w:rsidR="00101CBE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 previsto neste Contrato</w:t>
      </w:r>
      <w:r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 xml:space="preserve">, </w:t>
      </w:r>
      <w:r w:rsidRPr="006A2011">
        <w:rPr>
          <w:rFonts w:ascii="Times New Roman" w:eastAsia="Times New Roman" w:hAnsi="Times New Roman" w:cs="Times New Roman"/>
          <w:kern w:val="0"/>
          <w:lang w:eastAsia="pt-BR"/>
          <w14:ligatures w14:val="none"/>
        </w:rPr>
        <w:t>sem suspensão da execução dos serviços.</w:t>
      </w:r>
    </w:p>
    <w:p w14:paraId="5A5D838F" w14:textId="77777777" w:rsidR="00E31CD3" w:rsidRDefault="00E31CD3"/>
    <w:sectPr w:rsidR="00E31C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5A4FE6" w14:textId="77777777" w:rsidR="00B43637" w:rsidRDefault="00B43637" w:rsidP="006A2011">
      <w:pPr>
        <w:spacing w:after="0" w:line="240" w:lineRule="auto"/>
      </w:pPr>
      <w:r>
        <w:separator/>
      </w:r>
    </w:p>
  </w:endnote>
  <w:endnote w:type="continuationSeparator" w:id="0">
    <w:p w14:paraId="7F592828" w14:textId="77777777" w:rsidR="00B43637" w:rsidRDefault="00B43637" w:rsidP="006A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65ED5" w14:textId="77777777" w:rsidR="006A2011" w:rsidRDefault="006A201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6E0E7B" w14:textId="77777777" w:rsidR="006A2011" w:rsidRDefault="006A201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0AB256" w14:textId="77777777" w:rsidR="006A2011" w:rsidRDefault="006A20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FC2D96" w14:textId="77777777" w:rsidR="00B43637" w:rsidRDefault="00B43637" w:rsidP="006A2011">
      <w:pPr>
        <w:spacing w:after="0" w:line="240" w:lineRule="auto"/>
      </w:pPr>
      <w:r>
        <w:separator/>
      </w:r>
    </w:p>
  </w:footnote>
  <w:footnote w:type="continuationSeparator" w:id="0">
    <w:p w14:paraId="45B9F46D" w14:textId="77777777" w:rsidR="00B43637" w:rsidRDefault="00B43637" w:rsidP="006A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814EE" w14:textId="77777777" w:rsidR="006A2011" w:rsidRDefault="006A20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67590" w14:textId="77777777" w:rsidR="006A2011" w:rsidRDefault="006A2011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29EC2A" w14:textId="77777777" w:rsidR="006A2011" w:rsidRDefault="006A201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1018F1"/>
    <w:multiLevelType w:val="multilevel"/>
    <w:tmpl w:val="23A4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D46046"/>
    <w:multiLevelType w:val="multilevel"/>
    <w:tmpl w:val="41D2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2140887">
    <w:abstractNumId w:val="0"/>
  </w:num>
  <w:num w:numId="2" w16cid:durableId="18493258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011"/>
    <w:rsid w:val="000952AA"/>
    <w:rsid w:val="00101CBE"/>
    <w:rsid w:val="002E277A"/>
    <w:rsid w:val="00417696"/>
    <w:rsid w:val="006A2011"/>
    <w:rsid w:val="009757A8"/>
    <w:rsid w:val="009B0CD7"/>
    <w:rsid w:val="00B43637"/>
    <w:rsid w:val="00C23AE5"/>
    <w:rsid w:val="00CE7327"/>
    <w:rsid w:val="00E3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616D83"/>
  <w15:chartTrackingRefBased/>
  <w15:docId w15:val="{45BB3B4D-2A64-F841-939B-89BBCEC1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A2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A2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2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2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2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20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20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20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20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20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A20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A20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201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2011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201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201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201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201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A20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A2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2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A20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A2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A201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A201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A201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2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2011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A20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2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6A2011"/>
    <w:rPr>
      <w:b/>
      <w:bCs/>
    </w:rPr>
  </w:style>
  <w:style w:type="character" w:styleId="nfase">
    <w:name w:val="Emphasis"/>
    <w:basedOn w:val="Fontepargpadro"/>
    <w:uiPriority w:val="20"/>
    <w:qFormat/>
    <w:rsid w:val="006A2011"/>
    <w:rPr>
      <w:i/>
      <w:iCs/>
    </w:rPr>
  </w:style>
  <w:style w:type="paragraph" w:styleId="Cabealho">
    <w:name w:val="header"/>
    <w:basedOn w:val="Normal"/>
    <w:link w:val="CabealhoChar"/>
    <w:uiPriority w:val="99"/>
    <w:unhideWhenUsed/>
    <w:rsid w:val="006A2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2011"/>
  </w:style>
  <w:style w:type="paragraph" w:styleId="Rodap">
    <w:name w:val="footer"/>
    <w:basedOn w:val="Normal"/>
    <w:link w:val="RodapChar"/>
    <w:uiPriority w:val="99"/>
    <w:unhideWhenUsed/>
    <w:rsid w:val="006A20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2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1810A79-7655-7C4E-AC99-118297788F9C}">
  <we:reference id="wa200010453" version="1.0.0.1" store="pt-BR" storeType="OMEX"/>
  <we:alternateReferences>
    <we:reference id="wa200010453" version="1.0.0.1" store="pt-BR" storeType="OMEX"/>
  </we:alternateReferences>
  <we:properties>
    <we:property name="claude.fileId" value="&quot;565ea497-c119-4060-9f36-94c9126f8e2c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674</Words>
  <Characters>3449</Characters>
  <Application>Microsoft Office Word</Application>
  <DocSecurity>0</DocSecurity>
  <Lines>65</Lines>
  <Paragraphs>32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Piraci Oliveira</dc:creator>
  <cp:keywords/>
  <dc:description/>
  <cp:lastModifiedBy>Piraci Oliveira</cp:lastModifiedBy>
  <cp:revision>5</cp:revision>
  <dcterms:created xsi:type="dcterms:W3CDTF">2026-09-30T22:01:00Z</dcterms:created>
  <dcterms:modified xsi:type="dcterms:W3CDTF">2026-09-30T22:08:00Z</dcterms:modified>
</cp:coreProperties>
</file>