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52030F" w14:textId="77777777" w:rsidR="006A2011" w:rsidRPr="006A2011" w:rsidRDefault="006A2011" w:rsidP="006A20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CLÁUSULA [__] – DA RECOMPOSIÇÃO DO PREÇO EM DECORRÊNCIA DA REFORMA TRIBUTÁRIA</w:t>
      </w:r>
    </w:p>
    <w:p w14:paraId="564C2306" w14:textId="14841455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[__].1.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As Partes reconhecem que o preço vigente foi calculado com base na apuração da Contribuição para o PIS/Pasep e da </w:t>
      </w:r>
      <w:proofErr w:type="spellStart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Cofins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existente em 2026, na sistemática "por dentro".</w:t>
      </w:r>
    </w:p>
    <w:p w14:paraId="41E88F72" w14:textId="77777777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[__].2.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As Partes reconhecem, ainda, que:</w:t>
      </w:r>
    </w:p>
    <w:p w14:paraId="11D3E255" w14:textId="77777777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(i) a Emenda Constitucional nº 132/2023 e a Lei Complementar nº 214/2025 extinguem a Contribuição para o PIS/Pasep e a </w:t>
      </w:r>
      <w:proofErr w:type="spellStart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Cofins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 partir de 1º de janeiro de 2027 e instituem a Contribuição sobre Bens e Serviços (CBS) e o Imposto sobre Bens e Serviços (IBS). Esses tributos são cobrados "por fora" do preço, não integram a própria base de cálculo e devem ser destacados no documento fiscal;</w:t>
      </w:r>
    </w:p>
    <w:p w14:paraId="089E8929" w14:textId="77777777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(</w:t>
      </w:r>
      <w:proofErr w:type="spellStart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ii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) o art. 2º da Lei Complementar nº 214/2025 consagra o princípio da neutralidade, segundo o qual a CBS e o IBS não devem distorcer as decisões de consumo e de organização da atividade econômica;</w:t>
      </w:r>
    </w:p>
    <w:p w14:paraId="450098CD" w14:textId="77777777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(</w:t>
      </w:r>
      <w:proofErr w:type="spellStart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iii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) o art. 145, § 3º, da Constituição Federal impõe a observância da transparência ao Sistema Tributário Nacional, e o art. 21 da Emenda Constitucional nº 132/2023 admite instrumentos de ajuste nos contratos em razão da substituição dos tributos;</w:t>
      </w:r>
    </w:p>
    <w:p w14:paraId="42F2BF13" w14:textId="77777777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(</w:t>
      </w:r>
      <w:proofErr w:type="spellStart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iv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) a substituição dos tributos altera a composição do preço por fato alheio à vontade das Partes. Por isso, com fundamento nos </w:t>
      </w:r>
      <w:proofErr w:type="spellStart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arts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 421 e 421-A do Código Civil, as Partes alocam desde já os efeitos dessa alteração na forma desta Cláusula, independentemente da caracterização de onerosidade excessiva ou de imprevisibilidade (</w:t>
      </w:r>
      <w:proofErr w:type="spellStart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arts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 317 e 478 a 480 do Código Civil).</w:t>
      </w:r>
    </w:p>
    <w:p w14:paraId="75990421" w14:textId="1CAD9B2A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[__].3.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 partir de 1º de janeiro de 2027, o preço dos serviços será recomposto em duas etapas:</w:t>
      </w:r>
    </w:p>
    <w:p w14:paraId="0A406A17" w14:textId="737F8EFC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(a) será excluído do preço vigente em 31 de dezembro de 2026 o valor correspondente à Contribuição para o PIS/Pasep e à </w:t>
      </w:r>
      <w:proofErr w:type="spellStart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Cofins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nele </w:t>
      </w:r>
      <w:r w:rsidR="00101CBE" w:rsidRPr="00101CB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integradas, pela alíquota conjunta a que a CONTRATADA estava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sujeita em 2026;</w:t>
      </w:r>
    </w:p>
    <w:p w14:paraId="6432B0D2" w14:textId="2CA812BA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(b) </w:t>
      </w:r>
      <w:r w:rsidR="00454E42" w:rsidRPr="00454E42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ao valor resultante serão acrescidos a CBS e o IBS devidos na operação, calculados pelas alíquotas vigentes na data do fato gerador sobre a base de cálculo definida na Lei Complementar nº 214/2025, da qual se excluem o ICMS, o ISS e o IPI incidentes na operação,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com o respectivo destaque no documento fiscal.</w:t>
      </w:r>
    </w:p>
    <w:p w14:paraId="07B65889" w14:textId="77777777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[__].3.1.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 recomposição observará as seguintes fórmulas:</w:t>
      </w:r>
    </w:p>
    <w:p w14:paraId="65255140" w14:textId="1A582E40" w:rsidR="00454E42" w:rsidRPr="00454E42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PL = PV </w:t>
      </w:r>
      <w:r w:rsidR="00454E42" w:rsidRPr="00454E42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– (A × B</w:t>
      </w: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A)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="00454E42" w:rsidRPr="00454E42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BC = PL – T</w:t>
      </w:r>
    </w:p>
    <w:p w14:paraId="796F36FD" w14:textId="63AB01AE" w:rsidR="006A2011" w:rsidRPr="006A2011" w:rsidRDefault="00454E42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454E42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VT = PL + (BC</w:t>
      </w:r>
      <w:r w:rsidR="006A2011"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× B)</w:t>
      </w:r>
    </w:p>
    <w:p w14:paraId="3A9D8318" w14:textId="27A8B54A" w:rsidR="006A2011" w:rsidRPr="006A2011" w:rsidRDefault="00101CBE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01CB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Em que</w:t>
      </w:r>
      <w:r w:rsidR="006A2011"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:</w:t>
      </w:r>
    </w:p>
    <w:p w14:paraId="47BAFADF" w14:textId="77777777" w:rsidR="006A2011" w:rsidRPr="006A2011" w:rsidRDefault="006A2011" w:rsidP="006A20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PV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é o preço vigente em 31/12/2026, já considerados os reajustes ordinários contratuais;</w:t>
      </w:r>
    </w:p>
    <w:p w14:paraId="6B371DF7" w14:textId="15873A3E" w:rsidR="006A2011" w:rsidRPr="006A2011" w:rsidRDefault="006A2011" w:rsidP="006A20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é a alíquota conjunta da Contribuição para o PIS/Pasep e da </w:t>
      </w:r>
      <w:proofErr w:type="spellStart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Cofins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 que a CONTRATADA estava sujeita em 2026;</w:t>
      </w:r>
    </w:p>
    <w:p w14:paraId="1AE26F7C" w14:textId="77777777" w:rsidR="00454E42" w:rsidRPr="00454E42" w:rsidRDefault="00454E42" w:rsidP="006A20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kern w:val="0"/>
          <w:lang w:eastAsia="pt-BR"/>
          <w14:ligatures w14:val="none"/>
        </w:rPr>
      </w:pPr>
      <w:r w:rsidRPr="00454E42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BA</w:t>
      </w:r>
      <w:r w:rsidRPr="00454E42">
        <w:rPr>
          <w:rFonts w:ascii="Times New Roman" w:eastAsia="Times New Roman" w:hAnsi="Times New Roman" w:cs="Times New Roman"/>
          <w:bCs/>
          <w:kern w:val="0"/>
          <w:lang w:eastAsia="pt-BR"/>
          <w14:ligatures w14:val="none"/>
        </w:rPr>
        <w:t xml:space="preserve"> é a base de cálculo efetiva da Contribuição para o PIS/Pasep e da </w:t>
      </w:r>
      <w:proofErr w:type="spellStart"/>
      <w:r w:rsidRPr="00454E42">
        <w:rPr>
          <w:rFonts w:ascii="Times New Roman" w:eastAsia="Times New Roman" w:hAnsi="Times New Roman" w:cs="Times New Roman"/>
          <w:bCs/>
          <w:kern w:val="0"/>
          <w:lang w:eastAsia="pt-BR"/>
          <w14:ligatures w14:val="none"/>
        </w:rPr>
        <w:t>Cofins</w:t>
      </w:r>
      <w:proofErr w:type="spellEnd"/>
      <w:r w:rsidRPr="00454E42">
        <w:rPr>
          <w:rFonts w:ascii="Times New Roman" w:eastAsia="Times New Roman" w:hAnsi="Times New Roman" w:cs="Times New Roman"/>
          <w:bCs/>
          <w:kern w:val="0"/>
          <w:lang w:eastAsia="pt-BR"/>
          <w14:ligatures w14:val="none"/>
        </w:rPr>
        <w:t xml:space="preserve"> em 2026, correspondente ao PV, excluídos os valores que dela não fizessem parte por força de lei ou de decisão judicial;</w:t>
      </w:r>
    </w:p>
    <w:p w14:paraId="518C38D0" w14:textId="77777777" w:rsidR="00454E42" w:rsidRPr="00454E42" w:rsidRDefault="00454E42" w:rsidP="006A20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kern w:val="0"/>
          <w:lang w:eastAsia="pt-BR"/>
          <w14:ligatures w14:val="none"/>
        </w:rPr>
      </w:pPr>
      <w:r w:rsidRPr="00454E42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PL</w:t>
      </w:r>
      <w:r w:rsidRPr="00454E42">
        <w:rPr>
          <w:rFonts w:ascii="Times New Roman" w:eastAsia="Times New Roman" w:hAnsi="Times New Roman" w:cs="Times New Roman"/>
          <w:bCs/>
          <w:kern w:val="0"/>
          <w:lang w:eastAsia="pt-BR"/>
          <w14:ligatures w14:val="none"/>
        </w:rPr>
        <w:t xml:space="preserve"> é o preço líquido de tributos sobre a receita substituídos;</w:t>
      </w:r>
    </w:p>
    <w:p w14:paraId="5A0E0A25" w14:textId="77777777" w:rsidR="00454E42" w:rsidRPr="00454E42" w:rsidRDefault="00454E42" w:rsidP="006A20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kern w:val="0"/>
          <w:lang w:eastAsia="pt-BR"/>
          <w14:ligatures w14:val="none"/>
        </w:rPr>
      </w:pPr>
      <w:r w:rsidRPr="00454E42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T</w:t>
      </w:r>
      <w:r w:rsidRPr="00454E42">
        <w:rPr>
          <w:rFonts w:ascii="Times New Roman" w:eastAsia="Times New Roman" w:hAnsi="Times New Roman" w:cs="Times New Roman"/>
          <w:bCs/>
          <w:kern w:val="0"/>
          <w:lang w:eastAsia="pt-BR"/>
          <w14:ligatures w14:val="none"/>
        </w:rPr>
        <w:t xml:space="preserve"> é o montante do ICMS, do ISS e do IPI, quando houver, incidentes na operação na data do fato gerador;</w:t>
      </w:r>
    </w:p>
    <w:p w14:paraId="3C858E95" w14:textId="36C9E8B2" w:rsidR="006A2011" w:rsidRPr="004B391D" w:rsidRDefault="00454E42" w:rsidP="006A20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454E42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BC </w:t>
      </w:r>
      <w:r w:rsidRPr="004B391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é a base de cálculo da CBS e do IBS, da qual não fazem parte o ICMS, o ISS e o IPI, nos termos do art. 12, § 2º, da Lei Complementar nº 214/2025</w:t>
      </w:r>
      <w:r w:rsidR="006A2011" w:rsidRPr="004B391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;</w:t>
      </w:r>
    </w:p>
    <w:p w14:paraId="6ABBBBB9" w14:textId="7A3391E2" w:rsidR="006A2011" w:rsidRPr="006A2011" w:rsidRDefault="006A2011" w:rsidP="006A20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B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é a soma das alíquotas </w:t>
      </w:r>
      <w:r w:rsidR="004B391D" w:rsidRPr="004B391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da CBS e do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IBS aplicáveis à operação, </w:t>
      </w:r>
      <w:r w:rsidR="00101CBE" w:rsidRPr="00101CB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consideradas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eventuais reduções </w:t>
      </w:r>
      <w:r w:rsidR="00101CB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decorrentes 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 regime diferenciado a que a CONTRATADA faça jus;</w:t>
      </w:r>
    </w:p>
    <w:p w14:paraId="3F1DA0FE" w14:textId="77777777" w:rsidR="006A2011" w:rsidRPr="006A2011" w:rsidRDefault="006A2011" w:rsidP="006A20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VT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é o valor total devido pela CONTRATANTE.</w:t>
      </w:r>
    </w:p>
    <w:p w14:paraId="6EB6029E" w14:textId="77777777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[__].3.2.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 recomposição prevista nesta Cláusula tem natureza de reequilíbrio econômico-financeiro. Ela não se confunde com o reajuste ordinário previsto na Cláusula [__] e com ele se aplica cumulativamente.</w:t>
      </w:r>
    </w:p>
    <w:p w14:paraId="34501A7A" w14:textId="4B450E05" w:rsidR="006A2011" w:rsidRPr="00454E42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454E42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[__].4.</w:t>
      </w:r>
      <w:r w:rsidRPr="00454E42">
        <w:rPr>
          <w:rFonts w:ascii="Times New Roman" w:eastAsia="Times New Roman" w:hAnsi="Times New Roman" w:cs="Times New Roman"/>
          <w:bCs/>
          <w:kern w:val="0"/>
          <w:lang w:eastAsia="pt-BR"/>
          <w14:ligatures w14:val="none"/>
        </w:rPr>
        <w:t xml:space="preserve"> Durante o período de transição (2027 a 2033), o valor total será recalculado automaticamente, para mais ou para menos, sempre que houver:</w:t>
      </w:r>
    </w:p>
    <w:p w14:paraId="00147B36" w14:textId="5B6CB025" w:rsidR="006A2011" w:rsidRPr="006A2011" w:rsidRDefault="006A2011" w:rsidP="006A20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alteração das alíquotas </w:t>
      </w:r>
      <w:r w:rsidR="004B391D" w:rsidRPr="004B391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da CBS ou do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IBS;</w:t>
      </w:r>
    </w:p>
    <w:p w14:paraId="2CC785A2" w14:textId="77777777" w:rsidR="006A2011" w:rsidRPr="006A2011" w:rsidRDefault="006A2011" w:rsidP="006A20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redução gradual das alíquotas do ISS [e do ICMS];</w:t>
      </w:r>
    </w:p>
    <w:p w14:paraId="3BDB262E" w14:textId="77777777" w:rsidR="00454E42" w:rsidRDefault="006A2011" w:rsidP="006A20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enquadramento da operação em regime diferenciado</w:t>
      </w:r>
      <w:r w:rsidR="00454E42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;</w:t>
      </w:r>
    </w:p>
    <w:p w14:paraId="7D5E6879" w14:textId="61547745" w:rsidR="006A2011" w:rsidRPr="006A2011" w:rsidRDefault="00454E42" w:rsidP="006A20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definição, por lei ou decisão judicial, quanto à inclusão da CBS e do IBS na base de cálculo do ICMS ou do ISS</w:t>
      </w:r>
      <w:r w:rsidR="006A2011"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29DAE285" w14:textId="295CF52F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objetivo é preservar a equação econômico-financeira original e a neutralidade de que trata o item [__].2</w:t>
      </w:r>
      <w:r w:rsidR="004B391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, (</w:t>
      </w:r>
      <w:proofErr w:type="spellStart"/>
      <w:r w:rsidR="004B391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ii</w:t>
      </w:r>
      <w:proofErr w:type="spellEnd"/>
      <w:r w:rsidR="004B391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)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4D30C5D5" w14:textId="38D43F99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[__].5.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 CONTRATANTE declara ter ciência de que a CBS e o IBS destacados</w:t>
      </w:r>
      <w:r w:rsidR="00101CBE" w:rsidRPr="00101CB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, cujos débitos tenham sido efetivamente extintos,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dão direito a crédito ao adquirente sujeito ao regime regular, na forma da Lei Complementar nº 214/2025. Isso vale </w:t>
      </w:r>
      <w:r w:rsidR="00101CB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inclusive 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quando o recolhimento ocorrer na liquidação financeira da operação (</w:t>
      </w:r>
      <w:r w:rsidRPr="006A2011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split </w:t>
      </w:r>
      <w:proofErr w:type="spellStart"/>
      <w:r w:rsidRPr="006A2011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payment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), o que não altera o valor total devido nos termos desta Cláusula.</w:t>
      </w:r>
    </w:p>
    <w:p w14:paraId="63225B16" w14:textId="628EC242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[__].6.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 CONTRATADA encaminhará à CONTRATANTE, com antecedência mínima de 30 (trinta) dias da primeira fatura recomposta e de cada recálculo previsto no item [__].4, memória de cálculo com as alíquotas, as bases e os dispositivos legais aplicados.</w:t>
      </w:r>
    </w:p>
    <w:p w14:paraId="380D4B9C" w14:textId="6C515AB7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[__].7.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Havendo divergência quanto ao cálculo, a CONTRATANTE pagará a parcela incontroversa no vencimento. A parcela controvertida será submetida ao procedimento de solução de controvérsias</w:t>
      </w:r>
      <w:r w:rsidR="00101CB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previsto neste Contrato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sem suspensão da execução dos serviços.</w:t>
      </w:r>
    </w:p>
    <w:p w14:paraId="5A5D838F" w14:textId="77777777" w:rsidR="00E31CD3" w:rsidRDefault="00E31CD3"/>
    <w:sectPr w:rsidR="00E31C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D9D239" w14:textId="77777777" w:rsidR="002C1E66" w:rsidRDefault="002C1E66" w:rsidP="006A2011">
      <w:pPr>
        <w:spacing w:after="0" w:line="240" w:lineRule="auto"/>
      </w:pPr>
      <w:r>
        <w:separator/>
      </w:r>
    </w:p>
  </w:endnote>
  <w:endnote w:type="continuationSeparator" w:id="0">
    <w:p w14:paraId="3FA9CFB9" w14:textId="77777777" w:rsidR="002C1E66" w:rsidRDefault="002C1E66" w:rsidP="006A2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D65ED5" w14:textId="77777777" w:rsidR="006A2011" w:rsidRDefault="006A201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6E0E7B" w14:textId="77777777" w:rsidR="006A2011" w:rsidRDefault="006A201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0AB256" w14:textId="77777777" w:rsidR="006A2011" w:rsidRDefault="006A201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679C4F" w14:textId="77777777" w:rsidR="002C1E66" w:rsidRDefault="002C1E66" w:rsidP="006A2011">
      <w:pPr>
        <w:spacing w:after="0" w:line="240" w:lineRule="auto"/>
      </w:pPr>
      <w:r>
        <w:separator/>
      </w:r>
    </w:p>
  </w:footnote>
  <w:footnote w:type="continuationSeparator" w:id="0">
    <w:p w14:paraId="21121C8C" w14:textId="77777777" w:rsidR="002C1E66" w:rsidRDefault="002C1E66" w:rsidP="006A2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5814EE" w14:textId="77777777" w:rsidR="006A2011" w:rsidRDefault="006A201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E67590" w14:textId="77777777" w:rsidR="006A2011" w:rsidRDefault="006A201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29EC2A" w14:textId="77777777" w:rsidR="006A2011" w:rsidRDefault="006A20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1018F1"/>
    <w:multiLevelType w:val="multilevel"/>
    <w:tmpl w:val="23A4A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D46046"/>
    <w:multiLevelType w:val="multilevel"/>
    <w:tmpl w:val="41D29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2140887">
    <w:abstractNumId w:val="0"/>
  </w:num>
  <w:num w:numId="2" w16cid:durableId="184932584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011"/>
    <w:rsid w:val="000952AA"/>
    <w:rsid w:val="00101CBE"/>
    <w:rsid w:val="002C1E66"/>
    <w:rsid w:val="002E277A"/>
    <w:rsid w:val="00417696"/>
    <w:rsid w:val="00454E42"/>
    <w:rsid w:val="004B391D"/>
    <w:rsid w:val="006A2011"/>
    <w:rsid w:val="009757A8"/>
    <w:rsid w:val="009B0CD7"/>
    <w:rsid w:val="00B43637"/>
    <w:rsid w:val="00C23AE5"/>
    <w:rsid w:val="00CE7327"/>
    <w:rsid w:val="00E3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616D83"/>
  <w15:chartTrackingRefBased/>
  <w15:docId w15:val="{45BB3B4D-2A64-F841-939B-89BBCEC19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A2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A2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2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2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2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2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2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2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2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20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6A20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A20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201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201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20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201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20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20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A2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A2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2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A2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A2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A201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A201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A201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2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201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A201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2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6A2011"/>
    <w:rPr>
      <w:b/>
      <w:bCs/>
    </w:rPr>
  </w:style>
  <w:style w:type="character" w:styleId="nfase">
    <w:name w:val="Emphasis"/>
    <w:basedOn w:val="Fontepargpadro"/>
    <w:uiPriority w:val="20"/>
    <w:qFormat/>
    <w:rsid w:val="006A2011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6A20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2011"/>
  </w:style>
  <w:style w:type="paragraph" w:styleId="Rodap">
    <w:name w:val="footer"/>
    <w:basedOn w:val="Normal"/>
    <w:link w:val="RodapChar"/>
    <w:uiPriority w:val="99"/>
    <w:unhideWhenUsed/>
    <w:rsid w:val="006A20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1810A79-7655-7C4E-AC99-118297788F9C}">
  <we:reference id="wa200010453" version="1.0.0.1" store="pt-BR" storeType="OMEX"/>
  <we:alternateReferences>
    <we:reference id="wa200010453" version="1.0.0.1" store="pt-BR" storeType="OMEX"/>
  </we:alternateReferences>
  <we:properties>
    <we:property name="claude.fileId" value="&quot;565ea497-c119-4060-9f36-94c9126f8e2c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804</Words>
  <Characters>3975</Characters>
  <Application>Microsoft Office Word</Application>
  <DocSecurity>0</DocSecurity>
  <Lines>77</Lines>
  <Paragraphs>38</Paragraphs>
  <ScaleCrop>false</ScaleCrop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Piraci Oliveira</dc:creator>
  <cp:keywords/>
  <dc:description/>
  <cp:lastModifiedBy>Piraci Oliveira</cp:lastModifiedBy>
  <cp:revision>9</cp:revision>
  <dcterms:created xsi:type="dcterms:W3CDTF">2026-09-30T22:01:00Z</dcterms:created>
  <dcterms:modified xsi:type="dcterms:W3CDTF">2026-10-02T10:07:00Z</dcterms:modified>
</cp:coreProperties>
</file>