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FC407F" w14:textId="77777777" w:rsidR="006835A3" w:rsidRPr="00EB5408" w:rsidRDefault="00000000">
      <w:pPr>
        <w:spacing w:after="360" w:line="285" w:lineRule="auto"/>
        <w:jc w:val="right"/>
        <w:rPr>
          <w:color w:val="000000"/>
        </w:rPr>
      </w:pPr>
      <w:r w:rsidRPr="00EB5408">
        <w:rPr>
          <w:color w:val="000000"/>
        </w:rPr>
        <w:t>São Paulo, 17 de outubro de 2026</w:t>
      </w:r>
    </w:p>
    <w:p w14:paraId="654301C1" w14:textId="77777777" w:rsidR="006835A3" w:rsidRPr="00EB5408" w:rsidRDefault="00000000">
      <w:pPr>
        <w:spacing w:after="80"/>
        <w:jc w:val="center"/>
        <w:rPr>
          <w:color w:val="000000"/>
        </w:rPr>
      </w:pPr>
      <w:r w:rsidRPr="00EB5408">
        <w:rPr>
          <w:b/>
          <w:bCs/>
          <w:color w:val="000000"/>
          <w:sz w:val="26"/>
          <w:szCs w:val="26"/>
        </w:rPr>
        <w:t>PARECER TÉCNICO-TRIBUTÁRIO</w:t>
      </w:r>
    </w:p>
    <w:p w14:paraId="56A73D1A" w14:textId="77777777" w:rsidR="006835A3" w:rsidRPr="00EB5408" w:rsidRDefault="00000000">
      <w:pPr>
        <w:spacing w:after="300"/>
        <w:jc w:val="center"/>
        <w:rPr>
          <w:color w:val="000000"/>
        </w:rPr>
      </w:pPr>
      <w:r w:rsidRPr="00EB5408">
        <w:rPr>
          <w:i/>
          <w:iCs/>
          <w:color w:val="000000"/>
        </w:rPr>
        <w:t>Venda faturada em dezembro de 2026 com entrega em janeiro de 2027: incidência de PIS/</w:t>
      </w:r>
      <w:proofErr w:type="spellStart"/>
      <w:r w:rsidRPr="00EB5408">
        <w:rPr>
          <w:i/>
          <w:iCs/>
          <w:color w:val="000000"/>
        </w:rPr>
        <w:t>Cofins</w:t>
      </w:r>
      <w:proofErr w:type="spellEnd"/>
      <w:r w:rsidRPr="00EB5408">
        <w:rPr>
          <w:i/>
          <w:iCs/>
          <w:color w:val="000000"/>
        </w:rPr>
        <w:t xml:space="preserve"> ou de CBS</w:t>
      </w:r>
    </w:p>
    <w:p w14:paraId="68DFEF2D" w14:textId="77777777" w:rsidR="006835A3" w:rsidRPr="00EB5408" w:rsidRDefault="00000000">
      <w:pPr>
        <w:spacing w:after="160" w:line="285" w:lineRule="auto"/>
        <w:ind w:left="1134" w:right="1134"/>
        <w:jc w:val="both"/>
        <w:rPr>
          <w:color w:val="000000"/>
        </w:rPr>
      </w:pPr>
      <w:r w:rsidRPr="00EB5408">
        <w:rPr>
          <w:i/>
          <w:iCs/>
          <w:color w:val="000000"/>
        </w:rPr>
        <w:t>Ementa: CBS. PIS/</w:t>
      </w:r>
      <w:proofErr w:type="spellStart"/>
      <w:r w:rsidRPr="00EB5408">
        <w:rPr>
          <w:i/>
          <w:iCs/>
          <w:color w:val="000000"/>
        </w:rPr>
        <w:t>Cofins</w:t>
      </w:r>
      <w:proofErr w:type="spellEnd"/>
      <w:r w:rsidRPr="00EB5408">
        <w:rPr>
          <w:i/>
          <w:iCs/>
          <w:color w:val="000000"/>
        </w:rPr>
        <w:t>. Transição. Venda com NF-e emitida e saída em 30/12/2026 e entrega ao comprador em 03/01/2027. Fato gerador da CBS no fornecimento (art. 10 da LC 214/2025; art. 11, §§ 8º e 9º, do Decreto 12.955/2026). Fato gerador do PIS/</w:t>
      </w:r>
      <w:proofErr w:type="spellStart"/>
      <w:r w:rsidRPr="00EB5408">
        <w:rPr>
          <w:i/>
          <w:iCs/>
          <w:color w:val="000000"/>
        </w:rPr>
        <w:t>Cofins</w:t>
      </w:r>
      <w:proofErr w:type="spellEnd"/>
      <w:r w:rsidRPr="00EB5408">
        <w:rPr>
          <w:i/>
          <w:iCs/>
          <w:color w:val="000000"/>
        </w:rPr>
        <w:t xml:space="preserve"> no auferimento da receita. Prevalência das contribuições pelo art. 408, § 1º, da LC 214/2025. Aperfeiçoamento da venda como critério decisivo. Cláusulas FOB e CIF como elemento de prova. Cenários e recomendações.</w:t>
      </w:r>
    </w:p>
    <w:p w14:paraId="71E77E4A" w14:textId="0B43DF95" w:rsidR="006835A3" w:rsidRPr="00EB5408" w:rsidRDefault="00000000">
      <w:pPr>
        <w:keepNext/>
        <w:spacing w:before="480" w:after="360"/>
        <w:rPr>
          <w:color w:val="000000"/>
        </w:rPr>
      </w:pPr>
      <w:r w:rsidRPr="00EB5408">
        <w:rPr>
          <w:b/>
          <w:bCs/>
          <w:color w:val="000000"/>
          <w:sz w:val="26"/>
          <w:szCs w:val="26"/>
        </w:rPr>
        <w:t xml:space="preserve">1. </w:t>
      </w:r>
      <w:r w:rsidR="00EB5408" w:rsidRPr="00EB5408">
        <w:rPr>
          <w:b/>
          <w:bCs/>
          <w:color w:val="000000"/>
          <w:sz w:val="26"/>
          <w:szCs w:val="26"/>
        </w:rPr>
        <w:t>PARECER</w:t>
      </w:r>
    </w:p>
    <w:p w14:paraId="58E4E121" w14:textId="77777777" w:rsidR="006835A3" w:rsidRPr="00EB5408" w:rsidRDefault="00000000">
      <w:pPr>
        <w:spacing w:after="160" w:line="285" w:lineRule="auto"/>
        <w:jc w:val="both"/>
        <w:rPr>
          <w:color w:val="000000"/>
        </w:rPr>
      </w:pPr>
      <w:r w:rsidRPr="00EB5408">
        <w:rPr>
          <w:color w:val="000000"/>
        </w:rPr>
        <w:t>Fomos consultados sobre o tratamento de uma venda de mercadoria cuja nota fiscal é emitida e cuja saída ocorre em 30 de dezembro de 2026, com chegada ao estabelecimento do comprador em 3 de janeiro de 2027.</w:t>
      </w:r>
    </w:p>
    <w:p w14:paraId="5F9D9FC1" w14:textId="33A0CA79" w:rsidR="006835A3" w:rsidRPr="00EB5408" w:rsidRDefault="00000000">
      <w:pPr>
        <w:spacing w:after="160" w:line="285" w:lineRule="auto"/>
        <w:jc w:val="both"/>
        <w:rPr>
          <w:color w:val="000000"/>
        </w:rPr>
      </w:pPr>
      <w:r w:rsidRPr="00EB5408">
        <w:rPr>
          <w:color w:val="000000"/>
        </w:rPr>
        <w:t>A dúvida decorre da virada do sistema. Em 2027</w:t>
      </w:r>
      <w:r w:rsidR="00F11DB3">
        <w:rPr>
          <w:color w:val="000000"/>
        </w:rPr>
        <w:t>,</w:t>
      </w:r>
      <w:r w:rsidRPr="00EB5408">
        <w:rPr>
          <w:color w:val="000000"/>
        </w:rPr>
        <w:t xml:space="preserve"> o PIS e a </w:t>
      </w:r>
      <w:proofErr w:type="spellStart"/>
      <w:r w:rsidRPr="00EB5408">
        <w:rPr>
          <w:color w:val="000000"/>
        </w:rPr>
        <w:t>Cofins</w:t>
      </w:r>
      <w:proofErr w:type="spellEnd"/>
      <w:r w:rsidRPr="00EB5408">
        <w:rPr>
          <w:color w:val="000000"/>
        </w:rPr>
        <w:t xml:space="preserve"> são extintos e a CBS passa a ser cobrada efetivamente. Pergunta-se se a operação fica sujeita às contribuições antigas, em dezembro, ou à CBS, em janeiro.</w:t>
      </w:r>
    </w:p>
    <w:p w14:paraId="7B584221" w14:textId="77777777" w:rsidR="00EB5408" w:rsidRDefault="00000000">
      <w:pPr>
        <w:spacing w:after="160" w:line="285" w:lineRule="auto"/>
        <w:jc w:val="both"/>
        <w:rPr>
          <w:color w:val="000000"/>
        </w:rPr>
      </w:pPr>
      <w:r w:rsidRPr="00EB5408">
        <w:rPr>
          <w:color w:val="000000"/>
        </w:rPr>
        <w:t xml:space="preserve">Adiantamos a resposta. </w:t>
      </w:r>
    </w:p>
    <w:p w14:paraId="570142C6" w14:textId="77777777" w:rsidR="00EB5408" w:rsidRDefault="00000000">
      <w:pPr>
        <w:spacing w:after="160" w:line="285" w:lineRule="auto"/>
        <w:jc w:val="both"/>
        <w:rPr>
          <w:color w:val="000000"/>
        </w:rPr>
      </w:pPr>
      <w:r w:rsidRPr="00EB5408">
        <w:rPr>
          <w:color w:val="000000"/>
        </w:rPr>
        <w:t xml:space="preserve">Na maior parte dos casos, essa venda fica com PIS e </w:t>
      </w:r>
      <w:proofErr w:type="spellStart"/>
      <w:r w:rsidRPr="00EB5408">
        <w:rPr>
          <w:color w:val="000000"/>
        </w:rPr>
        <w:t>Cofins</w:t>
      </w:r>
      <w:proofErr w:type="spellEnd"/>
      <w:r w:rsidRPr="00EB5408">
        <w:rPr>
          <w:color w:val="000000"/>
        </w:rPr>
        <w:t xml:space="preserve"> em dezembro de 2026, e não há CBS em 2027. </w:t>
      </w:r>
    </w:p>
    <w:p w14:paraId="3D06971D" w14:textId="03EDDB43" w:rsidR="006835A3" w:rsidRPr="00EB5408" w:rsidRDefault="00000000">
      <w:pPr>
        <w:spacing w:after="160" w:line="285" w:lineRule="auto"/>
        <w:jc w:val="both"/>
        <w:rPr>
          <w:color w:val="000000"/>
        </w:rPr>
      </w:pPr>
      <w:r w:rsidRPr="00EB5408">
        <w:rPr>
          <w:color w:val="000000"/>
        </w:rPr>
        <w:t>O resultado depende de quando a receita foi auferida, isto é, de quando a venda se aperfeiçoou. A data de chegada da mercadoria ao comprador não decide sozinha.</w:t>
      </w:r>
    </w:p>
    <w:p w14:paraId="40E011DF" w14:textId="77777777" w:rsidR="006835A3" w:rsidRPr="00EB5408" w:rsidRDefault="00000000">
      <w:pPr>
        <w:keepNext/>
        <w:spacing w:before="480" w:after="360"/>
        <w:rPr>
          <w:color w:val="000000"/>
        </w:rPr>
      </w:pPr>
      <w:r w:rsidRPr="00EB5408">
        <w:rPr>
          <w:b/>
          <w:bCs/>
          <w:color w:val="000000"/>
          <w:sz w:val="26"/>
          <w:szCs w:val="26"/>
        </w:rPr>
        <w:t>2. O FATO GERADOR DE CADA TRIBUTO</w:t>
      </w:r>
    </w:p>
    <w:p w14:paraId="6F1A65C9" w14:textId="77777777" w:rsidR="006835A3" w:rsidRPr="00EB5408" w:rsidRDefault="00000000">
      <w:pPr>
        <w:keepNext/>
        <w:spacing w:before="240" w:after="160"/>
        <w:rPr>
          <w:color w:val="000000"/>
        </w:rPr>
      </w:pPr>
      <w:r w:rsidRPr="00EB5408">
        <w:rPr>
          <w:b/>
          <w:bCs/>
          <w:color w:val="000000"/>
          <w:sz w:val="26"/>
          <w:szCs w:val="26"/>
        </w:rPr>
        <w:t>2.1. CBS: o fornecimento</w:t>
      </w:r>
    </w:p>
    <w:p w14:paraId="47A3BC9F" w14:textId="77777777" w:rsidR="00EB5408" w:rsidRDefault="00000000">
      <w:pPr>
        <w:spacing w:after="160" w:line="285" w:lineRule="auto"/>
        <w:jc w:val="both"/>
        <w:rPr>
          <w:color w:val="000000"/>
        </w:rPr>
      </w:pPr>
      <w:r w:rsidRPr="00EB5408">
        <w:rPr>
          <w:color w:val="000000"/>
        </w:rPr>
        <w:t xml:space="preserve">Na CBS, o fato gerador ocorre no momento do fornecimento (art. 10 da LC 214/2025). Para bem material, o fornecimento é a entrega ou a disponibilização. </w:t>
      </w:r>
    </w:p>
    <w:p w14:paraId="62BFBEB0" w14:textId="666B90ED" w:rsidR="006835A3" w:rsidRPr="00EB5408" w:rsidRDefault="00000000">
      <w:pPr>
        <w:spacing w:after="160" w:line="285" w:lineRule="auto"/>
        <w:jc w:val="both"/>
        <w:rPr>
          <w:color w:val="000000"/>
        </w:rPr>
      </w:pPr>
      <w:r w:rsidRPr="00EB5408">
        <w:rPr>
          <w:color w:val="000000"/>
        </w:rPr>
        <w:lastRenderedPageBreak/>
        <w:t>O Regulamento aprovado pelo Decreto 12.955/2026 repete a regra no art. 11, § 1º, I, e acrescenta duas presunções ligadas ao documento fiscal:</w:t>
      </w:r>
    </w:p>
    <w:p w14:paraId="50BB60E1" w14:textId="4ADB1CA1" w:rsidR="00EB5408" w:rsidRDefault="00000000">
      <w:pPr>
        <w:spacing w:after="160" w:line="285" w:lineRule="auto"/>
        <w:ind w:left="1134" w:right="1134"/>
        <w:jc w:val="both"/>
        <w:rPr>
          <w:i/>
          <w:iCs/>
          <w:color w:val="000000"/>
        </w:rPr>
      </w:pPr>
      <w:r w:rsidRPr="00EB5408">
        <w:rPr>
          <w:i/>
          <w:iCs/>
          <w:color w:val="000000"/>
        </w:rPr>
        <w:t>Art. 11</w:t>
      </w:r>
      <w:r w:rsidR="00F11DB3">
        <w:rPr>
          <w:i/>
          <w:iCs/>
          <w:color w:val="000000"/>
        </w:rPr>
        <w:t>.</w:t>
      </w:r>
      <w:r w:rsidRPr="00EB5408">
        <w:rPr>
          <w:i/>
          <w:iCs/>
          <w:color w:val="000000"/>
        </w:rPr>
        <w:t xml:space="preserve"> </w:t>
      </w:r>
    </w:p>
    <w:p w14:paraId="4118A3D4" w14:textId="77777777" w:rsidR="00EB5408" w:rsidRDefault="00000000">
      <w:pPr>
        <w:spacing w:after="160" w:line="285" w:lineRule="auto"/>
        <w:ind w:left="1134" w:right="1134"/>
        <w:jc w:val="both"/>
        <w:rPr>
          <w:i/>
          <w:iCs/>
          <w:color w:val="000000"/>
        </w:rPr>
      </w:pPr>
      <w:r w:rsidRPr="00EB5408">
        <w:rPr>
          <w:i/>
          <w:iCs/>
          <w:color w:val="000000"/>
        </w:rPr>
        <w:t xml:space="preserve">§ 8º Quando informada, em documento fiscal, a data de previsão de entrega ou de disponibilização, considera-se seu fornecimento nessa data, salvo comprovação em contrário. </w:t>
      </w:r>
    </w:p>
    <w:p w14:paraId="71034AB7" w14:textId="3F80891B" w:rsidR="006835A3" w:rsidRPr="00EB5408" w:rsidRDefault="00000000">
      <w:pPr>
        <w:spacing w:after="160" w:line="285" w:lineRule="auto"/>
        <w:ind w:left="1134" w:right="1134"/>
        <w:jc w:val="both"/>
        <w:rPr>
          <w:color w:val="000000"/>
        </w:rPr>
      </w:pPr>
      <w:r w:rsidRPr="00EB5408">
        <w:rPr>
          <w:i/>
          <w:iCs/>
          <w:color w:val="000000"/>
        </w:rPr>
        <w:t>§ 9º Na falta da informação da data de previsão de entrega ou de disponibilização, considera-se seu fornecimento na data de emissão do documento fiscal.</w:t>
      </w:r>
    </w:p>
    <w:p w14:paraId="729BA4C5" w14:textId="77777777" w:rsidR="00EB5408" w:rsidRDefault="00000000">
      <w:pPr>
        <w:spacing w:after="160" w:line="285" w:lineRule="auto"/>
        <w:jc w:val="both"/>
        <w:rPr>
          <w:color w:val="000000"/>
        </w:rPr>
      </w:pPr>
      <w:r w:rsidRPr="00EB5408">
        <w:rPr>
          <w:color w:val="000000"/>
        </w:rPr>
        <w:t xml:space="preserve">Com a entrega em 3 de janeiro de 2027 informada na NF-e, o fato gerador da CBS se presume ocorrido em 2027. </w:t>
      </w:r>
    </w:p>
    <w:p w14:paraId="26563416" w14:textId="7AB7A757" w:rsidR="006835A3" w:rsidRPr="00EB5408" w:rsidRDefault="00000000">
      <w:pPr>
        <w:spacing w:after="160" w:line="285" w:lineRule="auto"/>
        <w:jc w:val="both"/>
        <w:rPr>
          <w:color w:val="000000"/>
        </w:rPr>
      </w:pPr>
      <w:r w:rsidRPr="00EB5408">
        <w:rPr>
          <w:color w:val="000000"/>
        </w:rPr>
        <w:t>Vista isoladamente, essa regra levaria a operação para o novo tributo.</w:t>
      </w:r>
    </w:p>
    <w:p w14:paraId="5418EF28" w14:textId="77777777" w:rsidR="006835A3" w:rsidRPr="00EB5408" w:rsidRDefault="00000000">
      <w:pPr>
        <w:keepNext/>
        <w:spacing w:before="240" w:after="160"/>
        <w:rPr>
          <w:color w:val="000000"/>
        </w:rPr>
      </w:pPr>
      <w:r w:rsidRPr="00EB5408">
        <w:rPr>
          <w:b/>
          <w:bCs/>
          <w:color w:val="000000"/>
          <w:sz w:val="26"/>
          <w:szCs w:val="26"/>
        </w:rPr>
        <w:t xml:space="preserve">2.2. PIS e </w:t>
      </w:r>
      <w:proofErr w:type="spellStart"/>
      <w:r w:rsidRPr="00EB5408">
        <w:rPr>
          <w:b/>
          <w:bCs/>
          <w:color w:val="000000"/>
          <w:sz w:val="26"/>
          <w:szCs w:val="26"/>
        </w:rPr>
        <w:t>Cofins</w:t>
      </w:r>
      <w:proofErr w:type="spellEnd"/>
      <w:r w:rsidRPr="00EB5408">
        <w:rPr>
          <w:b/>
          <w:bCs/>
          <w:color w:val="000000"/>
          <w:sz w:val="26"/>
          <w:szCs w:val="26"/>
        </w:rPr>
        <w:t>: o auferimento da receita</w:t>
      </w:r>
    </w:p>
    <w:p w14:paraId="0929B1C0" w14:textId="77777777" w:rsidR="00EB5408" w:rsidRDefault="00000000">
      <w:pPr>
        <w:spacing w:after="160" w:line="285" w:lineRule="auto"/>
        <w:jc w:val="both"/>
        <w:rPr>
          <w:color w:val="000000"/>
        </w:rPr>
      </w:pPr>
      <w:r w:rsidRPr="00EB5408">
        <w:rPr>
          <w:color w:val="000000"/>
        </w:rPr>
        <w:t xml:space="preserve">No PIS e na </w:t>
      </w:r>
      <w:proofErr w:type="spellStart"/>
      <w:r w:rsidRPr="00EB5408">
        <w:rPr>
          <w:color w:val="000000"/>
        </w:rPr>
        <w:t>Cofins</w:t>
      </w:r>
      <w:proofErr w:type="spellEnd"/>
      <w:r w:rsidRPr="00EB5408">
        <w:rPr>
          <w:color w:val="000000"/>
        </w:rPr>
        <w:t xml:space="preserve">, o fato gerador é o auferimento de receita (art. 1º das Leis 10.637/2002 e 10.833/2003, no regime não cumulativo; </w:t>
      </w:r>
      <w:proofErr w:type="spellStart"/>
      <w:r w:rsidRPr="00EB5408">
        <w:rPr>
          <w:color w:val="000000"/>
        </w:rPr>
        <w:t>arts</w:t>
      </w:r>
      <w:proofErr w:type="spellEnd"/>
      <w:r w:rsidRPr="00EB5408">
        <w:rPr>
          <w:color w:val="000000"/>
        </w:rPr>
        <w:t xml:space="preserve">. 2º e 3º da Lei 9.718/1998, no cumulativo). </w:t>
      </w:r>
    </w:p>
    <w:p w14:paraId="5B9BB017" w14:textId="580D169F" w:rsidR="006835A3" w:rsidRPr="00EB5408" w:rsidRDefault="00000000">
      <w:pPr>
        <w:spacing w:after="160" w:line="285" w:lineRule="auto"/>
        <w:jc w:val="both"/>
        <w:rPr>
          <w:i/>
          <w:iCs/>
          <w:color w:val="000000"/>
        </w:rPr>
      </w:pPr>
      <w:r w:rsidRPr="00EB5408">
        <w:rPr>
          <w:color w:val="000000"/>
        </w:rPr>
        <w:t xml:space="preserve">Vale o regime de competência: </w:t>
      </w:r>
      <w:r w:rsidRPr="00EB5408">
        <w:rPr>
          <w:i/>
          <w:iCs/>
          <w:color w:val="000000"/>
        </w:rPr>
        <w:t>a receita pertence ao período em que é ganha, e não ao do recebimento.</w:t>
      </w:r>
    </w:p>
    <w:p w14:paraId="7EBF4508" w14:textId="77777777" w:rsidR="006835A3" w:rsidRPr="00EB5408" w:rsidRDefault="00000000">
      <w:pPr>
        <w:spacing w:after="160" w:line="285" w:lineRule="auto"/>
        <w:jc w:val="both"/>
        <w:rPr>
          <w:color w:val="000000"/>
        </w:rPr>
      </w:pPr>
      <w:r w:rsidRPr="00EB5408">
        <w:rPr>
          <w:color w:val="000000"/>
        </w:rPr>
        <w:t>Na venda de mercadoria, a receita é ganha quando o negócio está concluído e o vendedor cumpriu sua obrigação. Isso pode ter ocorrido em 30 de dezembro de 2026, ainda que o bem esteja em trânsito no dia 31.</w:t>
      </w:r>
    </w:p>
    <w:p w14:paraId="0AC84C94" w14:textId="77777777" w:rsidR="006835A3" w:rsidRPr="00EB5408" w:rsidRDefault="00000000">
      <w:pPr>
        <w:keepNext/>
        <w:spacing w:before="240" w:after="160"/>
        <w:rPr>
          <w:color w:val="000000"/>
        </w:rPr>
      </w:pPr>
      <w:r w:rsidRPr="00EB5408">
        <w:rPr>
          <w:b/>
          <w:bCs/>
          <w:color w:val="000000"/>
          <w:sz w:val="26"/>
          <w:szCs w:val="26"/>
        </w:rPr>
        <w:t>2.3. A regra de transição</w:t>
      </w:r>
    </w:p>
    <w:p w14:paraId="27B0E5D3" w14:textId="77777777" w:rsidR="00EB5408" w:rsidRDefault="00000000">
      <w:pPr>
        <w:spacing w:after="160" w:line="285" w:lineRule="auto"/>
        <w:jc w:val="both"/>
        <w:rPr>
          <w:color w:val="000000"/>
        </w:rPr>
      </w:pPr>
      <w:r w:rsidRPr="00EB5408">
        <w:rPr>
          <w:color w:val="000000"/>
        </w:rPr>
        <w:t xml:space="preserve">Os dois critérios se cruzam exatamente nas operações da virada. </w:t>
      </w:r>
    </w:p>
    <w:p w14:paraId="412E893B" w14:textId="1F94BA04" w:rsidR="006835A3" w:rsidRPr="00EB5408" w:rsidRDefault="00000000">
      <w:pPr>
        <w:spacing w:after="160" w:line="285" w:lineRule="auto"/>
        <w:jc w:val="both"/>
        <w:rPr>
          <w:color w:val="000000"/>
        </w:rPr>
      </w:pPr>
      <w:r w:rsidRPr="00EB5408">
        <w:rPr>
          <w:color w:val="000000"/>
        </w:rPr>
        <w:t>O legislador previu a sobreposição no art. 408 da LC 214/2025, com a redação da LC 227/2026, reproduzido no art. 616 do Regulamento:</w:t>
      </w:r>
    </w:p>
    <w:p w14:paraId="31537081" w14:textId="77777777" w:rsidR="006835A3" w:rsidRPr="00EB5408" w:rsidRDefault="00000000">
      <w:pPr>
        <w:spacing w:after="160" w:line="285" w:lineRule="auto"/>
        <w:ind w:left="1134" w:right="1134"/>
        <w:jc w:val="both"/>
        <w:rPr>
          <w:color w:val="000000"/>
        </w:rPr>
      </w:pPr>
      <w:r w:rsidRPr="00EB5408">
        <w:rPr>
          <w:i/>
          <w:iCs/>
          <w:color w:val="000000"/>
        </w:rPr>
        <w:t xml:space="preserve">Art. 408, § 1º Caso a mesma situação prevista em lei configure, até 31 de dezembro de 2026, fato gerador da Contribuição para o PIS/Pasep e da </w:t>
      </w:r>
      <w:proofErr w:type="spellStart"/>
      <w:r w:rsidRPr="00EB5408">
        <w:rPr>
          <w:i/>
          <w:iCs/>
          <w:color w:val="000000"/>
        </w:rPr>
        <w:t>Cofins</w:t>
      </w:r>
      <w:proofErr w:type="spellEnd"/>
      <w:r w:rsidRPr="00EB5408">
        <w:rPr>
          <w:i/>
          <w:iCs/>
          <w:color w:val="000000"/>
        </w:rPr>
        <w:t xml:space="preserve"> [...] e, a partir de 1º de janeiro de 2027, fato gerador da CBS, deverá ser observado o seguinte: I - não será exigida a CBS; II - serão </w:t>
      </w:r>
      <w:r w:rsidRPr="00EB5408">
        <w:rPr>
          <w:i/>
          <w:iCs/>
          <w:color w:val="000000"/>
        </w:rPr>
        <w:lastRenderedPageBreak/>
        <w:t xml:space="preserve">exigidas, conforme o caso: a) </w:t>
      </w:r>
      <w:proofErr w:type="spellStart"/>
      <w:r w:rsidRPr="00EB5408">
        <w:rPr>
          <w:i/>
          <w:iCs/>
          <w:color w:val="000000"/>
        </w:rPr>
        <w:t>Cofins</w:t>
      </w:r>
      <w:proofErr w:type="spellEnd"/>
      <w:r w:rsidRPr="00EB5408">
        <w:rPr>
          <w:i/>
          <w:iCs/>
          <w:color w:val="000000"/>
        </w:rPr>
        <w:t>; b) Contribuição para o PIS/Pasep; [...]</w:t>
      </w:r>
    </w:p>
    <w:p w14:paraId="690FD70F" w14:textId="77777777" w:rsidR="006835A3" w:rsidRPr="00EB5408" w:rsidRDefault="00000000">
      <w:pPr>
        <w:spacing w:after="160" w:line="285" w:lineRule="auto"/>
        <w:jc w:val="both"/>
        <w:rPr>
          <w:b/>
          <w:bCs/>
          <w:color w:val="000000"/>
          <w:u w:val="single"/>
        </w:rPr>
      </w:pPr>
      <w:r w:rsidRPr="00EB5408">
        <w:rPr>
          <w:color w:val="000000"/>
        </w:rPr>
        <w:t xml:space="preserve">A regra dá prevalência ao sistema antigo. </w:t>
      </w:r>
      <w:r w:rsidRPr="00EB5408">
        <w:rPr>
          <w:b/>
          <w:bCs/>
          <w:color w:val="000000"/>
          <w:u w:val="single"/>
        </w:rPr>
        <w:t xml:space="preserve">Havendo fato gerador de PIS e </w:t>
      </w:r>
      <w:proofErr w:type="spellStart"/>
      <w:r w:rsidRPr="00EB5408">
        <w:rPr>
          <w:b/>
          <w:bCs/>
          <w:color w:val="000000"/>
          <w:u w:val="single"/>
        </w:rPr>
        <w:t>Cofins</w:t>
      </w:r>
      <w:proofErr w:type="spellEnd"/>
      <w:r w:rsidRPr="00EB5408">
        <w:rPr>
          <w:b/>
          <w:bCs/>
          <w:color w:val="000000"/>
          <w:u w:val="single"/>
        </w:rPr>
        <w:t xml:space="preserve"> até 31/12/2026, a CBS não é exigida sobre a mesma situação, ainda que a entrega ocorra em 2027.</w:t>
      </w:r>
    </w:p>
    <w:p w14:paraId="1FBA3E42" w14:textId="77777777" w:rsidR="006835A3" w:rsidRPr="00EB5408" w:rsidRDefault="00000000">
      <w:pPr>
        <w:spacing w:after="160" w:line="285" w:lineRule="auto"/>
        <w:jc w:val="both"/>
        <w:rPr>
          <w:color w:val="000000"/>
        </w:rPr>
      </w:pPr>
      <w:r w:rsidRPr="00EB5408">
        <w:rPr>
          <w:color w:val="000000"/>
        </w:rPr>
        <w:t xml:space="preserve">A exceção do § 2º alcança os regimes opcionais dos </w:t>
      </w:r>
      <w:proofErr w:type="spellStart"/>
      <w:r w:rsidRPr="00EB5408">
        <w:rPr>
          <w:color w:val="000000"/>
        </w:rPr>
        <w:t>arts</w:t>
      </w:r>
      <w:proofErr w:type="spellEnd"/>
      <w:r w:rsidRPr="00EB5408">
        <w:rPr>
          <w:color w:val="000000"/>
        </w:rPr>
        <w:t>. 485 a 487 da LC 214/2025 (</w:t>
      </w:r>
      <w:proofErr w:type="spellStart"/>
      <w:r w:rsidRPr="00EB5408">
        <w:rPr>
          <w:color w:val="000000"/>
        </w:rPr>
        <w:t>arts</w:t>
      </w:r>
      <w:proofErr w:type="spellEnd"/>
      <w:r w:rsidRPr="00EB5408">
        <w:rPr>
          <w:color w:val="000000"/>
        </w:rPr>
        <w:t>. 461 a 463 do Regulamento), nos quais se exige só a CBS. São regimes do setor imobiliário, sem aplicação à venda de mercadorias.</w:t>
      </w:r>
    </w:p>
    <w:p w14:paraId="6285044C" w14:textId="77777777" w:rsidR="00EB5408" w:rsidRDefault="00000000">
      <w:pPr>
        <w:spacing w:after="160" w:line="285" w:lineRule="auto"/>
        <w:jc w:val="both"/>
        <w:rPr>
          <w:color w:val="000000"/>
        </w:rPr>
      </w:pPr>
      <w:r w:rsidRPr="00EB5408">
        <w:rPr>
          <w:color w:val="000000"/>
        </w:rPr>
        <w:t xml:space="preserve">O § 3º cuida de quem apura as contribuições pelo regime de caixa, opção admitida no lucro presumido (art. 20 da MP 2.158-35/2001). </w:t>
      </w:r>
    </w:p>
    <w:p w14:paraId="46F31B5B" w14:textId="0DB13683" w:rsidR="006835A3" w:rsidRPr="00EB5408" w:rsidRDefault="00000000">
      <w:pPr>
        <w:spacing w:after="160" w:line="285" w:lineRule="auto"/>
        <w:jc w:val="both"/>
        <w:rPr>
          <w:color w:val="000000"/>
        </w:rPr>
      </w:pPr>
      <w:r w:rsidRPr="00EB5408">
        <w:rPr>
          <w:color w:val="000000"/>
        </w:rPr>
        <w:t>Para operações ocorridas até 31/12/2026, o fato gerador é fixado na competência, as contribuições são exigidas no recebimento, mesmo após a extinção, e a CBS não é exigida sobre esse recebimento.</w:t>
      </w:r>
    </w:p>
    <w:p w14:paraId="776D406E" w14:textId="77777777" w:rsidR="006835A3" w:rsidRPr="00EB5408" w:rsidRDefault="00000000">
      <w:pPr>
        <w:keepNext/>
        <w:spacing w:before="480" w:after="360"/>
        <w:rPr>
          <w:color w:val="000000"/>
        </w:rPr>
      </w:pPr>
      <w:r w:rsidRPr="00EB5408">
        <w:rPr>
          <w:b/>
          <w:bCs/>
          <w:color w:val="000000"/>
          <w:sz w:val="26"/>
          <w:szCs w:val="26"/>
        </w:rPr>
        <w:t>3. QUANDO A VENDA SE APERFEIÇOA</w:t>
      </w:r>
    </w:p>
    <w:p w14:paraId="354DBC04" w14:textId="77777777" w:rsidR="006835A3" w:rsidRPr="00EB5408" w:rsidRDefault="00000000">
      <w:pPr>
        <w:spacing w:after="160" w:line="285" w:lineRule="auto"/>
        <w:jc w:val="both"/>
        <w:rPr>
          <w:color w:val="000000"/>
        </w:rPr>
      </w:pPr>
      <w:r w:rsidRPr="00EB5408">
        <w:rPr>
          <w:color w:val="000000"/>
        </w:rPr>
        <w:t>A questão, portanto, é saber se havia receita auferida em dezembro de 2026. Examinamos o ponto nos planos civil, contábil e fiscal, que devem ser lidos em conjunto.</w:t>
      </w:r>
    </w:p>
    <w:p w14:paraId="0232A944" w14:textId="77777777" w:rsidR="006835A3" w:rsidRPr="00EB5408" w:rsidRDefault="00000000">
      <w:pPr>
        <w:keepNext/>
        <w:spacing w:before="240" w:after="160"/>
        <w:rPr>
          <w:color w:val="000000"/>
        </w:rPr>
      </w:pPr>
      <w:r w:rsidRPr="00EB5408">
        <w:rPr>
          <w:b/>
          <w:bCs/>
          <w:color w:val="000000"/>
          <w:sz w:val="26"/>
          <w:szCs w:val="26"/>
        </w:rPr>
        <w:t>3.1. Plano civil</w:t>
      </w:r>
    </w:p>
    <w:p w14:paraId="199D1514" w14:textId="77777777" w:rsidR="00EB5408" w:rsidRDefault="00000000">
      <w:pPr>
        <w:spacing w:after="160" w:line="285" w:lineRule="auto"/>
        <w:jc w:val="both"/>
        <w:rPr>
          <w:color w:val="000000"/>
        </w:rPr>
      </w:pPr>
      <w:r w:rsidRPr="00EB5408">
        <w:rPr>
          <w:color w:val="000000"/>
        </w:rPr>
        <w:t xml:space="preserve">A compra e venda pura torna-se perfeita quando as partes acordam no objeto e no preço (art. 482 do Código Civil). </w:t>
      </w:r>
    </w:p>
    <w:p w14:paraId="6C9457F0" w14:textId="2402C71B" w:rsidR="006835A3" w:rsidRPr="00EB5408" w:rsidRDefault="00000000">
      <w:pPr>
        <w:spacing w:after="160" w:line="285" w:lineRule="auto"/>
        <w:jc w:val="both"/>
        <w:rPr>
          <w:color w:val="000000"/>
        </w:rPr>
      </w:pPr>
      <w:r w:rsidRPr="00EB5408">
        <w:rPr>
          <w:color w:val="000000"/>
        </w:rPr>
        <w:t>Até a tradição, os riscos da coisa correm por conta do vendedor (art. 492). O art. 494 abre exceção relevante para o caso:</w:t>
      </w:r>
    </w:p>
    <w:p w14:paraId="11FE81E9" w14:textId="77777777" w:rsidR="006835A3" w:rsidRPr="00EB5408" w:rsidRDefault="00000000">
      <w:pPr>
        <w:spacing w:after="160" w:line="285" w:lineRule="auto"/>
        <w:ind w:left="1134" w:right="1134"/>
        <w:jc w:val="both"/>
        <w:rPr>
          <w:color w:val="000000"/>
        </w:rPr>
      </w:pPr>
      <w:r w:rsidRPr="00EB5408">
        <w:rPr>
          <w:i/>
          <w:iCs/>
          <w:color w:val="000000"/>
        </w:rPr>
        <w:t>Art. 494. Se a coisa for expedida para lugar diverso, por ordem do comprador, por sua conta correrão os riscos, uma vez entregue a quem haja de transportá-la, salvo se das instruções dele se afastar o vendedor.</w:t>
      </w:r>
    </w:p>
    <w:p w14:paraId="6BCA8B74" w14:textId="77777777" w:rsidR="006835A3" w:rsidRPr="00EB5408" w:rsidRDefault="00000000">
      <w:pPr>
        <w:spacing w:after="160" w:line="285" w:lineRule="auto"/>
        <w:jc w:val="both"/>
        <w:rPr>
          <w:color w:val="000000"/>
        </w:rPr>
      </w:pPr>
      <w:r w:rsidRPr="00EB5408">
        <w:rPr>
          <w:color w:val="000000"/>
        </w:rPr>
        <w:t>Quando é o comprador quem manda expedir o bem e contrata o frete, a entrega ao transportador já transfere os riscos em 30 de dezembro.</w:t>
      </w:r>
    </w:p>
    <w:p w14:paraId="5454C9BD" w14:textId="77777777" w:rsidR="006835A3" w:rsidRPr="00EB5408" w:rsidRDefault="00000000">
      <w:pPr>
        <w:keepNext/>
        <w:spacing w:before="240" w:after="160"/>
        <w:rPr>
          <w:color w:val="000000"/>
        </w:rPr>
      </w:pPr>
      <w:r w:rsidRPr="00EB5408">
        <w:rPr>
          <w:b/>
          <w:bCs/>
          <w:color w:val="000000"/>
          <w:sz w:val="26"/>
          <w:szCs w:val="26"/>
        </w:rPr>
        <w:lastRenderedPageBreak/>
        <w:t>3.2. Plano contábil</w:t>
      </w:r>
    </w:p>
    <w:p w14:paraId="53CC4761" w14:textId="77777777" w:rsidR="006835A3" w:rsidRPr="00EB5408" w:rsidRDefault="00000000">
      <w:pPr>
        <w:spacing w:after="160" w:line="285" w:lineRule="auto"/>
        <w:jc w:val="both"/>
        <w:rPr>
          <w:color w:val="000000"/>
        </w:rPr>
      </w:pPr>
      <w:r w:rsidRPr="00EB5408">
        <w:rPr>
          <w:color w:val="000000"/>
        </w:rPr>
        <w:t>O CPC 47 manda reconhecer a receita quando o controle do bem passa ao cliente. Entre os indicadores do item 38 estão a posse física, a transferência dos riscos e benefícios, o direito de cobrar e a titularidade. Desde a Lei 12.973/2014, o registro contábil é o ponto de partida da receita tributável.</w:t>
      </w:r>
    </w:p>
    <w:p w14:paraId="5EDB2768" w14:textId="77777777" w:rsidR="006835A3" w:rsidRPr="00EB5408" w:rsidRDefault="00000000">
      <w:pPr>
        <w:keepNext/>
        <w:spacing w:before="240" w:after="160"/>
        <w:rPr>
          <w:color w:val="000000"/>
        </w:rPr>
      </w:pPr>
      <w:r w:rsidRPr="00EB5408">
        <w:rPr>
          <w:b/>
          <w:bCs/>
          <w:color w:val="000000"/>
          <w:sz w:val="26"/>
          <w:szCs w:val="26"/>
        </w:rPr>
        <w:t>3.3. Plano fiscal</w:t>
      </w:r>
    </w:p>
    <w:p w14:paraId="1883B273" w14:textId="77777777" w:rsidR="006835A3" w:rsidRPr="00EB5408" w:rsidRDefault="00000000">
      <w:pPr>
        <w:spacing w:after="160" w:line="285" w:lineRule="auto"/>
        <w:jc w:val="both"/>
        <w:rPr>
          <w:color w:val="000000"/>
        </w:rPr>
      </w:pPr>
      <w:r w:rsidRPr="00EB5408">
        <w:rPr>
          <w:color w:val="000000"/>
        </w:rPr>
        <w:t xml:space="preserve">Na Solução de Consulta </w:t>
      </w:r>
      <w:proofErr w:type="spellStart"/>
      <w:r w:rsidRPr="00EB5408">
        <w:rPr>
          <w:color w:val="000000"/>
        </w:rPr>
        <w:t>Cosit</w:t>
      </w:r>
      <w:proofErr w:type="spellEnd"/>
      <w:r w:rsidRPr="00EB5408">
        <w:rPr>
          <w:color w:val="000000"/>
        </w:rPr>
        <w:t xml:space="preserve"> nº 13, de 5 de fevereiro de 2026, a Receita Federal examinou a venda para entrega futura. Entendeu que, quando as mercadorias </w:t>
      </w:r>
      <w:r w:rsidRPr="00EB5408">
        <w:rPr>
          <w:b/>
          <w:bCs/>
          <w:color w:val="000000"/>
          <w:u w:val="single"/>
        </w:rPr>
        <w:t>já existem em estoque</w:t>
      </w:r>
      <w:r w:rsidRPr="00EB5408">
        <w:rPr>
          <w:color w:val="000000"/>
        </w:rPr>
        <w:t>, o negócio se aperfeiçoa na celebração do contrato, ainda que a entrega física venha depois.</w:t>
      </w:r>
    </w:p>
    <w:p w14:paraId="0F61AE50" w14:textId="3A3E5192" w:rsidR="006835A3" w:rsidRPr="00EB5408" w:rsidRDefault="00000000">
      <w:pPr>
        <w:spacing w:after="160" w:line="285" w:lineRule="auto"/>
        <w:jc w:val="both"/>
        <w:rPr>
          <w:color w:val="000000"/>
        </w:rPr>
      </w:pPr>
      <w:r w:rsidRPr="00EB5408">
        <w:rPr>
          <w:color w:val="000000"/>
        </w:rPr>
        <w:t xml:space="preserve">O raciocínio inverso também se aplica. Se a nota de dezembro documenta apenas um </w:t>
      </w:r>
      <w:r w:rsidRPr="00EB5408">
        <w:rPr>
          <w:b/>
          <w:bCs/>
          <w:color w:val="000000"/>
          <w:u w:val="single"/>
        </w:rPr>
        <w:t xml:space="preserve">adiantamento </w:t>
      </w:r>
      <w:r w:rsidRPr="00EB5408">
        <w:rPr>
          <w:color w:val="000000"/>
        </w:rPr>
        <w:t xml:space="preserve">e o bem ainda não foi produzido ou adquirido, não há venda perfeita nem receita em 2026. </w:t>
      </w:r>
    </w:p>
    <w:p w14:paraId="3168DFF2" w14:textId="77777777" w:rsidR="006835A3" w:rsidRPr="00EB5408" w:rsidRDefault="00000000">
      <w:pPr>
        <w:keepNext/>
        <w:spacing w:before="240" w:after="160"/>
        <w:rPr>
          <w:color w:val="000000"/>
        </w:rPr>
      </w:pPr>
      <w:r w:rsidRPr="00EB5408">
        <w:rPr>
          <w:b/>
          <w:bCs/>
          <w:color w:val="000000"/>
          <w:sz w:val="26"/>
          <w:szCs w:val="26"/>
        </w:rPr>
        <w:t>3.4. As cláusulas FOB e CIF</w:t>
      </w:r>
    </w:p>
    <w:p w14:paraId="475F9439" w14:textId="77777777" w:rsidR="00EB5408" w:rsidRDefault="00000000">
      <w:pPr>
        <w:spacing w:after="160" w:line="285" w:lineRule="auto"/>
        <w:jc w:val="both"/>
        <w:rPr>
          <w:color w:val="000000"/>
        </w:rPr>
      </w:pPr>
      <w:r w:rsidRPr="00EB5408">
        <w:rPr>
          <w:color w:val="000000"/>
        </w:rPr>
        <w:t xml:space="preserve">A cláusula FOB ou CIF ajuda a provar quando o risco e o controle passaram ao comprador, mas não é, por si só, o gatilho tributário. </w:t>
      </w:r>
    </w:p>
    <w:p w14:paraId="1F641930" w14:textId="03CC1573" w:rsidR="006835A3" w:rsidRPr="00EB5408" w:rsidRDefault="00000000">
      <w:pPr>
        <w:spacing w:after="160" w:line="285" w:lineRule="auto"/>
        <w:jc w:val="both"/>
        <w:rPr>
          <w:color w:val="000000"/>
        </w:rPr>
      </w:pPr>
      <w:r w:rsidRPr="00EB5408">
        <w:rPr>
          <w:color w:val="000000"/>
        </w:rPr>
        <w:t>No uso comercial brasileiro, esses termos muitas vezes indicam apenas quem paga o frete, e o contrato pode distribuir os riscos de outra forma.</w:t>
      </w:r>
    </w:p>
    <w:p w14:paraId="5E270AD8" w14:textId="77777777" w:rsidR="006835A3" w:rsidRPr="00EB5408" w:rsidRDefault="00000000">
      <w:pPr>
        <w:spacing w:after="160" w:line="285" w:lineRule="auto"/>
        <w:jc w:val="both"/>
        <w:rPr>
          <w:color w:val="000000"/>
        </w:rPr>
      </w:pPr>
      <w:r w:rsidRPr="00EB5408">
        <w:rPr>
          <w:color w:val="000000"/>
        </w:rPr>
        <w:t>O que pesa é se a venda estava concluída, se o bem existia e estava identificado e o que mostram os registros contábeis e fiscais. A cláusula entra como prova, ao lado dos demais documentos.</w:t>
      </w:r>
    </w:p>
    <w:p w14:paraId="1AD7FA74" w14:textId="77777777" w:rsidR="006835A3" w:rsidRPr="00EB5408" w:rsidRDefault="00000000">
      <w:pPr>
        <w:keepNext/>
        <w:spacing w:before="480" w:after="360"/>
        <w:rPr>
          <w:color w:val="000000"/>
        </w:rPr>
      </w:pPr>
      <w:r w:rsidRPr="00EB5408">
        <w:rPr>
          <w:b/>
          <w:bCs/>
          <w:color w:val="000000"/>
          <w:sz w:val="26"/>
          <w:szCs w:val="26"/>
        </w:rPr>
        <w:t>4. CENÁRIOS</w:t>
      </w:r>
    </w:p>
    <w:p w14:paraId="6AB002E3" w14:textId="77777777" w:rsidR="006835A3" w:rsidRPr="00EB5408" w:rsidRDefault="00000000">
      <w:pPr>
        <w:spacing w:after="120" w:line="285" w:lineRule="auto"/>
        <w:jc w:val="both"/>
        <w:rPr>
          <w:color w:val="000000"/>
        </w:rPr>
      </w:pPr>
      <w:r w:rsidRPr="00EB5408">
        <w:rPr>
          <w:b/>
          <w:bCs/>
          <w:color w:val="000000"/>
        </w:rPr>
        <w:t xml:space="preserve">Quadro 1. </w:t>
      </w:r>
      <w:r w:rsidRPr="00EB5408">
        <w:rPr>
          <w:color w:val="000000"/>
        </w:rPr>
        <w:t>Tratamento da venda de 30/12/2026 com entrega em 03/01/2027</w:t>
      </w:r>
    </w:p>
    <w:tbl>
      <w:tblPr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2650"/>
        <w:gridCol w:w="2921"/>
      </w:tblGrid>
      <w:tr w:rsidR="006835A3" w:rsidRPr="00EB5408" w14:paraId="7F9612D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500" w:type="dxa"/>
            <w:tcBorders>
              <w:top w:val="single" w:sz="6" w:space="0" w:color="1F3864"/>
              <w:left w:val="single" w:sz="6" w:space="0" w:color="1F3864"/>
              <w:bottom w:val="single" w:sz="6" w:space="0" w:color="1F3864"/>
              <w:right w:val="single" w:sz="6" w:space="0" w:color="1F3864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6BBAFE" w14:textId="77777777" w:rsidR="006835A3" w:rsidRPr="00EB5408" w:rsidRDefault="00000000">
            <w:pPr>
              <w:spacing w:line="260" w:lineRule="auto"/>
              <w:jc w:val="center"/>
              <w:rPr>
                <w:color w:val="000000"/>
              </w:rPr>
            </w:pPr>
            <w:r w:rsidRPr="00EB5408">
              <w:rPr>
                <w:b/>
                <w:bCs/>
                <w:color w:val="000000"/>
                <w:sz w:val="20"/>
                <w:szCs w:val="20"/>
              </w:rPr>
              <w:t>Situação</w:t>
            </w:r>
          </w:p>
        </w:tc>
        <w:tc>
          <w:tcPr>
            <w:tcW w:w="2650" w:type="dxa"/>
            <w:tcBorders>
              <w:top w:val="single" w:sz="6" w:space="0" w:color="1F3864"/>
              <w:left w:val="single" w:sz="6" w:space="0" w:color="1F3864"/>
              <w:bottom w:val="single" w:sz="6" w:space="0" w:color="1F3864"/>
              <w:right w:val="single" w:sz="6" w:space="0" w:color="1F3864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F19E22" w14:textId="77777777" w:rsidR="006835A3" w:rsidRPr="00EB5408" w:rsidRDefault="00000000">
            <w:pPr>
              <w:spacing w:line="260" w:lineRule="auto"/>
              <w:jc w:val="center"/>
              <w:rPr>
                <w:color w:val="000000"/>
              </w:rPr>
            </w:pPr>
            <w:r w:rsidRPr="00EB5408">
              <w:rPr>
                <w:b/>
                <w:bCs/>
                <w:color w:val="000000"/>
                <w:sz w:val="20"/>
                <w:szCs w:val="20"/>
              </w:rPr>
              <w:t>PIS/</w:t>
            </w:r>
            <w:proofErr w:type="spellStart"/>
            <w:r w:rsidRPr="00EB5408">
              <w:rPr>
                <w:b/>
                <w:bCs/>
                <w:color w:val="000000"/>
                <w:sz w:val="20"/>
                <w:szCs w:val="20"/>
              </w:rPr>
              <w:t>Cofins</w:t>
            </w:r>
            <w:proofErr w:type="spellEnd"/>
          </w:p>
        </w:tc>
        <w:tc>
          <w:tcPr>
            <w:tcW w:w="2921" w:type="dxa"/>
            <w:tcBorders>
              <w:top w:val="single" w:sz="6" w:space="0" w:color="1F3864"/>
              <w:left w:val="single" w:sz="6" w:space="0" w:color="1F3864"/>
              <w:bottom w:val="single" w:sz="6" w:space="0" w:color="1F3864"/>
              <w:right w:val="single" w:sz="6" w:space="0" w:color="1F3864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4C3B91" w14:textId="77777777" w:rsidR="006835A3" w:rsidRPr="00EB5408" w:rsidRDefault="00000000">
            <w:pPr>
              <w:spacing w:line="260" w:lineRule="auto"/>
              <w:jc w:val="center"/>
              <w:rPr>
                <w:color w:val="000000"/>
              </w:rPr>
            </w:pPr>
            <w:r w:rsidRPr="00EB5408">
              <w:rPr>
                <w:b/>
                <w:bCs/>
                <w:color w:val="000000"/>
                <w:sz w:val="20"/>
                <w:szCs w:val="20"/>
              </w:rPr>
              <w:t>CBS</w:t>
            </w:r>
          </w:p>
        </w:tc>
      </w:tr>
      <w:tr w:rsidR="006835A3" w:rsidRPr="00EB5408" w14:paraId="74CA29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00" w:type="dxa"/>
            <w:tcBorders>
              <w:top w:val="single" w:sz="6" w:space="0" w:color="1F3864"/>
              <w:left w:val="single" w:sz="6" w:space="0" w:color="1F3864"/>
              <w:bottom w:val="single" w:sz="6" w:space="0" w:color="1F3864"/>
              <w:right w:val="single" w:sz="6" w:space="0" w:color="1F386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5EF61D" w14:textId="77777777" w:rsidR="006835A3" w:rsidRPr="00EB5408" w:rsidRDefault="00000000">
            <w:pPr>
              <w:spacing w:line="260" w:lineRule="auto"/>
              <w:rPr>
                <w:color w:val="000000"/>
              </w:rPr>
            </w:pPr>
            <w:r w:rsidRPr="00EB5408">
              <w:rPr>
                <w:color w:val="000000"/>
                <w:sz w:val="20"/>
                <w:szCs w:val="20"/>
              </w:rPr>
              <w:t>Venda aperfeiçoada em 30/12/2026: mercadoria existente e identificada, nota emitida, saída e embarque, com risco transferido na entrega ao transportador (típico do FOB)</w:t>
            </w:r>
          </w:p>
        </w:tc>
        <w:tc>
          <w:tcPr>
            <w:tcW w:w="2650" w:type="dxa"/>
            <w:tcBorders>
              <w:top w:val="single" w:sz="6" w:space="0" w:color="1F3864"/>
              <w:left w:val="single" w:sz="6" w:space="0" w:color="1F3864"/>
              <w:bottom w:val="single" w:sz="6" w:space="0" w:color="1F3864"/>
              <w:right w:val="single" w:sz="6" w:space="0" w:color="1F386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148F2D" w14:textId="77777777" w:rsidR="006835A3" w:rsidRPr="00EB5408" w:rsidRDefault="00000000">
            <w:pPr>
              <w:spacing w:line="260" w:lineRule="auto"/>
              <w:rPr>
                <w:color w:val="000000"/>
              </w:rPr>
            </w:pPr>
            <w:r w:rsidRPr="00EB5408">
              <w:rPr>
                <w:color w:val="000000"/>
                <w:sz w:val="20"/>
                <w:szCs w:val="20"/>
              </w:rPr>
              <w:t>Devidos sobre a receita de dezembro de 2026</w:t>
            </w:r>
          </w:p>
        </w:tc>
        <w:tc>
          <w:tcPr>
            <w:tcW w:w="2921" w:type="dxa"/>
            <w:tcBorders>
              <w:top w:val="single" w:sz="6" w:space="0" w:color="1F3864"/>
              <w:left w:val="single" w:sz="6" w:space="0" w:color="1F3864"/>
              <w:bottom w:val="single" w:sz="6" w:space="0" w:color="1F3864"/>
              <w:right w:val="single" w:sz="6" w:space="0" w:color="1F386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C5869E" w14:textId="77777777" w:rsidR="006835A3" w:rsidRPr="00EB5408" w:rsidRDefault="00000000">
            <w:pPr>
              <w:spacing w:line="260" w:lineRule="auto"/>
              <w:rPr>
                <w:color w:val="000000"/>
              </w:rPr>
            </w:pPr>
            <w:r w:rsidRPr="00EB5408">
              <w:rPr>
                <w:color w:val="000000"/>
                <w:sz w:val="20"/>
                <w:szCs w:val="20"/>
              </w:rPr>
              <w:t>Não incide (art. 408, § 1º, I, da LC 214/2025), embora a entrega ocorra em 2027</w:t>
            </w:r>
          </w:p>
        </w:tc>
      </w:tr>
      <w:tr w:rsidR="006835A3" w:rsidRPr="00EB5408" w14:paraId="70B71F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00" w:type="dxa"/>
            <w:tcBorders>
              <w:top w:val="single" w:sz="6" w:space="0" w:color="1F3864"/>
              <w:left w:val="single" w:sz="6" w:space="0" w:color="1F3864"/>
              <w:bottom w:val="single" w:sz="6" w:space="0" w:color="1F3864"/>
              <w:right w:val="single" w:sz="6" w:space="0" w:color="1F386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BA0A3C" w14:textId="77777777" w:rsidR="006835A3" w:rsidRPr="00EB5408" w:rsidRDefault="00000000">
            <w:pPr>
              <w:spacing w:line="260" w:lineRule="auto"/>
              <w:rPr>
                <w:color w:val="000000"/>
              </w:rPr>
            </w:pPr>
            <w:r w:rsidRPr="00EB5408">
              <w:rPr>
                <w:color w:val="000000"/>
                <w:sz w:val="20"/>
                <w:szCs w:val="20"/>
              </w:rPr>
              <w:lastRenderedPageBreak/>
              <w:t>Contrato prevê transferência do controle só na entrega ao comprador (por exemplo, CIF "porta a porta", com o risco mantido pelo vendedor), e a receita é reconhecida contabilmente em 03/01/2027</w:t>
            </w:r>
          </w:p>
        </w:tc>
        <w:tc>
          <w:tcPr>
            <w:tcW w:w="2650" w:type="dxa"/>
            <w:tcBorders>
              <w:top w:val="single" w:sz="6" w:space="0" w:color="1F3864"/>
              <w:left w:val="single" w:sz="6" w:space="0" w:color="1F3864"/>
              <w:bottom w:val="single" w:sz="6" w:space="0" w:color="1F3864"/>
              <w:right w:val="single" w:sz="6" w:space="0" w:color="1F386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27572C" w14:textId="77777777" w:rsidR="006835A3" w:rsidRPr="00EB5408" w:rsidRDefault="00000000">
            <w:pPr>
              <w:spacing w:line="260" w:lineRule="auto"/>
              <w:rPr>
                <w:color w:val="000000"/>
              </w:rPr>
            </w:pPr>
            <w:r w:rsidRPr="00EB5408">
              <w:rPr>
                <w:color w:val="000000"/>
                <w:sz w:val="20"/>
                <w:szCs w:val="20"/>
              </w:rPr>
              <w:t>Não há fato gerador em 2026, e as contribuições já estão extintas em 2027</w:t>
            </w:r>
          </w:p>
        </w:tc>
        <w:tc>
          <w:tcPr>
            <w:tcW w:w="2921" w:type="dxa"/>
            <w:tcBorders>
              <w:top w:val="single" w:sz="6" w:space="0" w:color="1F3864"/>
              <w:left w:val="single" w:sz="6" w:space="0" w:color="1F3864"/>
              <w:bottom w:val="single" w:sz="6" w:space="0" w:color="1F3864"/>
              <w:right w:val="single" w:sz="6" w:space="0" w:color="1F386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47EF60" w14:textId="77777777" w:rsidR="006835A3" w:rsidRPr="00EB5408" w:rsidRDefault="00000000">
            <w:pPr>
              <w:spacing w:line="260" w:lineRule="auto"/>
              <w:rPr>
                <w:color w:val="000000"/>
              </w:rPr>
            </w:pPr>
            <w:r w:rsidRPr="00EB5408">
              <w:rPr>
                <w:color w:val="000000"/>
                <w:sz w:val="20"/>
                <w:szCs w:val="20"/>
              </w:rPr>
              <w:t>Incide em 2027, com a alíquota de referência reduzida em 0,1 ponto percentual</w:t>
            </w:r>
          </w:p>
        </w:tc>
      </w:tr>
      <w:tr w:rsidR="006835A3" w:rsidRPr="00EB5408" w14:paraId="1CE812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00" w:type="dxa"/>
            <w:tcBorders>
              <w:top w:val="single" w:sz="6" w:space="0" w:color="1F3864"/>
              <w:left w:val="single" w:sz="6" w:space="0" w:color="1F3864"/>
              <w:bottom w:val="single" w:sz="6" w:space="0" w:color="1F3864"/>
              <w:right w:val="single" w:sz="6" w:space="0" w:color="1F386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32D683" w14:textId="77777777" w:rsidR="006835A3" w:rsidRPr="00EB5408" w:rsidRDefault="00000000">
            <w:pPr>
              <w:spacing w:line="260" w:lineRule="auto"/>
              <w:rPr>
                <w:color w:val="000000"/>
              </w:rPr>
            </w:pPr>
            <w:r w:rsidRPr="00EB5408">
              <w:rPr>
                <w:color w:val="000000"/>
                <w:sz w:val="20"/>
                <w:szCs w:val="20"/>
              </w:rPr>
              <w:t>Nota de dezembro que só documenta adiantamento, com o bem ainda não produzido ou adquirido</w:t>
            </w:r>
          </w:p>
        </w:tc>
        <w:tc>
          <w:tcPr>
            <w:tcW w:w="2650" w:type="dxa"/>
            <w:tcBorders>
              <w:top w:val="single" w:sz="6" w:space="0" w:color="1F3864"/>
              <w:left w:val="single" w:sz="6" w:space="0" w:color="1F3864"/>
              <w:bottom w:val="single" w:sz="6" w:space="0" w:color="1F3864"/>
              <w:right w:val="single" w:sz="6" w:space="0" w:color="1F386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5C340A" w14:textId="77777777" w:rsidR="006835A3" w:rsidRPr="00EB5408" w:rsidRDefault="00000000">
            <w:pPr>
              <w:spacing w:line="260" w:lineRule="auto"/>
              <w:rPr>
                <w:color w:val="000000"/>
              </w:rPr>
            </w:pPr>
            <w:r w:rsidRPr="00EB5408">
              <w:rPr>
                <w:color w:val="000000"/>
                <w:sz w:val="20"/>
                <w:szCs w:val="20"/>
              </w:rPr>
              <w:t>Não incide em 2026</w:t>
            </w:r>
          </w:p>
        </w:tc>
        <w:tc>
          <w:tcPr>
            <w:tcW w:w="2921" w:type="dxa"/>
            <w:tcBorders>
              <w:top w:val="single" w:sz="6" w:space="0" w:color="1F3864"/>
              <w:left w:val="single" w:sz="6" w:space="0" w:color="1F3864"/>
              <w:bottom w:val="single" w:sz="6" w:space="0" w:color="1F3864"/>
              <w:right w:val="single" w:sz="6" w:space="0" w:color="1F386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450BF2" w14:textId="77777777" w:rsidR="006835A3" w:rsidRPr="00EB5408" w:rsidRDefault="00000000">
            <w:pPr>
              <w:spacing w:line="260" w:lineRule="auto"/>
              <w:rPr>
                <w:color w:val="000000"/>
              </w:rPr>
            </w:pPr>
            <w:r w:rsidRPr="00EB5408">
              <w:rPr>
                <w:color w:val="000000"/>
                <w:sz w:val="20"/>
                <w:szCs w:val="20"/>
              </w:rPr>
              <w:t>Incide em 2027</w:t>
            </w:r>
          </w:p>
        </w:tc>
      </w:tr>
      <w:tr w:rsidR="006835A3" w:rsidRPr="00EB5408" w14:paraId="00CDF8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00" w:type="dxa"/>
            <w:tcBorders>
              <w:top w:val="single" w:sz="6" w:space="0" w:color="1F3864"/>
              <w:left w:val="single" w:sz="6" w:space="0" w:color="1F3864"/>
              <w:bottom w:val="single" w:sz="6" w:space="0" w:color="1F3864"/>
              <w:right w:val="single" w:sz="6" w:space="0" w:color="1F386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0BBC27" w14:textId="03E3C008" w:rsidR="006835A3" w:rsidRPr="00EB5408" w:rsidRDefault="00000000">
            <w:pPr>
              <w:spacing w:line="260" w:lineRule="auto"/>
              <w:rPr>
                <w:color w:val="000000"/>
              </w:rPr>
            </w:pPr>
            <w:r w:rsidRPr="00EB5408">
              <w:rPr>
                <w:color w:val="000000"/>
                <w:sz w:val="20"/>
                <w:szCs w:val="20"/>
              </w:rPr>
              <w:t>Vendedor no regime de caixa (</w:t>
            </w:r>
            <w:r w:rsidR="00F11DB3" w:rsidRPr="00F11DB3">
              <w:rPr>
                <w:color w:val="000000"/>
                <w:sz w:val="20"/>
                <w:szCs w:val="20"/>
              </w:rPr>
              <w:t>lucro p</w:t>
            </w:r>
            <w:r w:rsidRPr="00EB5408">
              <w:rPr>
                <w:color w:val="000000"/>
                <w:sz w:val="20"/>
                <w:szCs w:val="20"/>
              </w:rPr>
              <w:t>resumido) que recebe o pagamento em 2027 ou depois</w:t>
            </w:r>
          </w:p>
        </w:tc>
        <w:tc>
          <w:tcPr>
            <w:tcW w:w="2650" w:type="dxa"/>
            <w:tcBorders>
              <w:top w:val="single" w:sz="6" w:space="0" w:color="1F3864"/>
              <w:left w:val="single" w:sz="6" w:space="0" w:color="1F3864"/>
              <w:bottom w:val="single" w:sz="6" w:space="0" w:color="1F3864"/>
              <w:right w:val="single" w:sz="6" w:space="0" w:color="1F386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3DE0EF" w14:textId="77777777" w:rsidR="006835A3" w:rsidRPr="00EB5408" w:rsidRDefault="00000000">
            <w:pPr>
              <w:spacing w:line="260" w:lineRule="auto"/>
              <w:rPr>
                <w:color w:val="000000"/>
              </w:rPr>
            </w:pPr>
            <w:r w:rsidRPr="00EB5408">
              <w:rPr>
                <w:color w:val="000000"/>
                <w:sz w:val="20"/>
                <w:szCs w:val="20"/>
              </w:rPr>
              <w:t>Exigidos no recebimento, mesmo após a extinção, tomando a competência de 2026 como fato gerador</w:t>
            </w:r>
          </w:p>
        </w:tc>
        <w:tc>
          <w:tcPr>
            <w:tcW w:w="2921" w:type="dxa"/>
            <w:tcBorders>
              <w:top w:val="single" w:sz="6" w:space="0" w:color="1F3864"/>
              <w:left w:val="single" w:sz="6" w:space="0" w:color="1F3864"/>
              <w:bottom w:val="single" w:sz="6" w:space="0" w:color="1F3864"/>
              <w:right w:val="single" w:sz="6" w:space="0" w:color="1F386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EB1694" w14:textId="77777777" w:rsidR="006835A3" w:rsidRPr="00EB5408" w:rsidRDefault="00000000">
            <w:pPr>
              <w:spacing w:line="260" w:lineRule="auto"/>
              <w:rPr>
                <w:color w:val="000000"/>
              </w:rPr>
            </w:pPr>
            <w:r w:rsidRPr="00EB5408">
              <w:rPr>
                <w:color w:val="000000"/>
                <w:sz w:val="20"/>
                <w:szCs w:val="20"/>
              </w:rPr>
              <w:t>Não incide sobre esse recebimento (art. 408, § 3º, III)</w:t>
            </w:r>
          </w:p>
        </w:tc>
      </w:tr>
    </w:tbl>
    <w:p w14:paraId="78D132F6" w14:textId="77777777" w:rsidR="006835A3" w:rsidRPr="00EB5408" w:rsidRDefault="00000000">
      <w:pPr>
        <w:spacing w:before="200" w:after="160" w:line="285" w:lineRule="auto"/>
        <w:jc w:val="both"/>
        <w:rPr>
          <w:color w:val="000000"/>
        </w:rPr>
      </w:pPr>
      <w:r w:rsidRPr="00EB5408">
        <w:rPr>
          <w:color w:val="000000"/>
        </w:rPr>
        <w:t>O primeiro cenário é o mais frequente nas vendas industriais e comerciais com frete por conta do comprador. O segundo depende de cláusula contratual expressa e de registro contábil coerente com ela.</w:t>
      </w:r>
    </w:p>
    <w:p w14:paraId="0C9D112A" w14:textId="77777777" w:rsidR="006835A3" w:rsidRPr="00EB5408" w:rsidRDefault="00000000">
      <w:pPr>
        <w:keepNext/>
        <w:spacing w:before="480" w:after="360"/>
        <w:rPr>
          <w:color w:val="000000"/>
        </w:rPr>
      </w:pPr>
      <w:r w:rsidRPr="00EB5408">
        <w:rPr>
          <w:b/>
          <w:bCs/>
          <w:color w:val="000000"/>
          <w:sz w:val="26"/>
          <w:szCs w:val="26"/>
        </w:rPr>
        <w:t>5. PONTOS DE ATENÇÃO</w:t>
      </w:r>
    </w:p>
    <w:p w14:paraId="00A838A0" w14:textId="77777777" w:rsidR="006835A3" w:rsidRPr="00EB5408" w:rsidRDefault="00000000">
      <w:pPr>
        <w:spacing w:after="160" w:line="285" w:lineRule="auto"/>
        <w:jc w:val="both"/>
        <w:rPr>
          <w:color w:val="000000"/>
        </w:rPr>
      </w:pPr>
      <w:r w:rsidRPr="00EB5408">
        <w:rPr>
          <w:b/>
          <w:bCs/>
          <w:color w:val="000000"/>
        </w:rPr>
        <w:t xml:space="preserve">Coerência dos registros. </w:t>
      </w:r>
      <w:r w:rsidRPr="00EB5408">
        <w:rPr>
          <w:color w:val="000000"/>
        </w:rPr>
        <w:t>Reconhecer a receita em dezembro de 2026, na contabilidade e na EFD-Contribuições, é o que sustenta o afastamento da CBS. Se a receita for lançada só em janeiro, a CBS incide, e a escrituração da própria empresa passa a servir de prova contra a tese de 2026.</w:t>
      </w:r>
    </w:p>
    <w:p w14:paraId="509106B9" w14:textId="77777777" w:rsidR="006835A3" w:rsidRPr="00EB5408" w:rsidRDefault="00000000">
      <w:pPr>
        <w:spacing w:after="160" w:line="285" w:lineRule="auto"/>
        <w:jc w:val="both"/>
        <w:rPr>
          <w:color w:val="000000"/>
        </w:rPr>
      </w:pPr>
      <w:r w:rsidRPr="00EB5408">
        <w:rPr>
          <w:b/>
          <w:bCs/>
          <w:color w:val="000000"/>
        </w:rPr>
        <w:t xml:space="preserve">Data prevista de entrega na NF-e. </w:t>
      </w:r>
      <w:r w:rsidRPr="00EB5408">
        <w:rPr>
          <w:color w:val="000000"/>
        </w:rPr>
        <w:t>Se o campo trouxer 03/01/2027, a CBS presume fornecimento em 2027, e o afastamento passa a depender do art. 408. Se o campo ficar vazio, vale a data de emissão (§ 9º), o que coloca o fato gerador da CBS ainda em 2026, ano em que ela é informativa e compensável. Convém definir esse preenchimento antes das notas de fim de ano.</w:t>
      </w:r>
    </w:p>
    <w:p w14:paraId="66BBD4AD" w14:textId="77777777" w:rsidR="006835A3" w:rsidRPr="00EB5408" w:rsidRDefault="00000000">
      <w:pPr>
        <w:spacing w:after="160" w:line="285" w:lineRule="auto"/>
        <w:jc w:val="both"/>
        <w:rPr>
          <w:color w:val="000000"/>
        </w:rPr>
      </w:pPr>
      <w:r w:rsidRPr="00EB5408">
        <w:rPr>
          <w:b/>
          <w:bCs/>
          <w:color w:val="000000"/>
        </w:rPr>
        <w:t xml:space="preserve">Crédito do comprador. </w:t>
      </w:r>
      <w:r w:rsidRPr="00EB5408">
        <w:rPr>
          <w:color w:val="000000"/>
        </w:rPr>
        <w:t xml:space="preserve">O crédito de PIS e </w:t>
      </w:r>
      <w:proofErr w:type="spellStart"/>
      <w:r w:rsidRPr="00EB5408">
        <w:rPr>
          <w:color w:val="000000"/>
        </w:rPr>
        <w:t>Cofins</w:t>
      </w:r>
      <w:proofErr w:type="spellEnd"/>
      <w:r w:rsidRPr="00EB5408">
        <w:rPr>
          <w:color w:val="000000"/>
        </w:rPr>
        <w:t xml:space="preserve"> do adquirente precisa estar escriturado na EFD-Contribuições até dezembro de 2026. Tentar aproveitá-lo em 2027, no recebimento da mercadoria, pode levar à glosa. A SC </w:t>
      </w:r>
      <w:proofErr w:type="spellStart"/>
      <w:r w:rsidRPr="00EB5408">
        <w:rPr>
          <w:color w:val="000000"/>
        </w:rPr>
        <w:t>Cosit</w:t>
      </w:r>
      <w:proofErr w:type="spellEnd"/>
      <w:r w:rsidRPr="00EB5408">
        <w:rPr>
          <w:color w:val="000000"/>
        </w:rPr>
        <w:t xml:space="preserve"> 13/2026 admite o crédito já com a nota de faturamento, o que pede alinhamento entre vendedor e comprador.</w:t>
      </w:r>
    </w:p>
    <w:p w14:paraId="4EDAE49C" w14:textId="77777777" w:rsidR="006835A3" w:rsidRPr="00EB5408" w:rsidRDefault="00000000">
      <w:pPr>
        <w:spacing w:after="160" w:line="285" w:lineRule="auto"/>
        <w:jc w:val="both"/>
        <w:rPr>
          <w:color w:val="000000"/>
        </w:rPr>
      </w:pPr>
      <w:r w:rsidRPr="00EB5408">
        <w:rPr>
          <w:b/>
          <w:bCs/>
          <w:color w:val="000000"/>
        </w:rPr>
        <w:t xml:space="preserve">IBS. </w:t>
      </w:r>
      <w:r w:rsidRPr="00EB5408">
        <w:rPr>
          <w:color w:val="000000"/>
        </w:rPr>
        <w:t xml:space="preserve">O art. 408 trata só da CBS. Pela cartilha do Comitê Gestor do IBS, o débito do imposto em operação com bem móvel entra no mês da entrega. Isso pode levar a </w:t>
      </w:r>
      <w:r w:rsidRPr="00EB5408">
        <w:rPr>
          <w:color w:val="000000"/>
        </w:rPr>
        <w:lastRenderedPageBreak/>
        <w:t>alíquota de teste do IBS de 2027 (0,1%) para janeiro, ponto ainda não pacificado e que merece checagem.</w:t>
      </w:r>
    </w:p>
    <w:p w14:paraId="3E8126DD" w14:textId="77777777" w:rsidR="006835A3" w:rsidRPr="00EB5408" w:rsidRDefault="00000000">
      <w:pPr>
        <w:spacing w:after="160" w:line="285" w:lineRule="auto"/>
        <w:jc w:val="both"/>
        <w:rPr>
          <w:color w:val="000000"/>
        </w:rPr>
      </w:pPr>
      <w:r w:rsidRPr="00EB5408">
        <w:rPr>
          <w:b/>
          <w:bCs/>
          <w:color w:val="000000"/>
        </w:rPr>
        <w:t xml:space="preserve">ICMS e IPI. </w:t>
      </w:r>
      <w:r w:rsidRPr="00EB5408">
        <w:rPr>
          <w:color w:val="000000"/>
        </w:rPr>
        <w:t>Continuam com fato gerador na saída do estabelecimento (art. 12, I, da LC 87/1996; art. 46, II, do CTN), em 30/12/2026, sem mudança.</w:t>
      </w:r>
    </w:p>
    <w:p w14:paraId="77EE291A" w14:textId="4928BB15" w:rsidR="006835A3" w:rsidRPr="00EB5408" w:rsidRDefault="00EB5408">
      <w:pPr>
        <w:keepNext/>
        <w:spacing w:before="480" w:after="360"/>
        <w:rPr>
          <w:color w:val="000000"/>
        </w:rPr>
      </w:pPr>
      <w:r>
        <w:rPr>
          <w:b/>
          <w:bCs/>
          <w:color w:val="000000"/>
          <w:sz w:val="26"/>
          <w:szCs w:val="26"/>
        </w:rPr>
        <w:t>6</w:t>
      </w:r>
      <w:r w:rsidR="00000000" w:rsidRPr="00EB5408">
        <w:rPr>
          <w:b/>
          <w:bCs/>
          <w:color w:val="000000"/>
          <w:sz w:val="26"/>
          <w:szCs w:val="26"/>
        </w:rPr>
        <w:t>. CONCLUSÃO</w:t>
      </w:r>
    </w:p>
    <w:p w14:paraId="06ABC927" w14:textId="77777777" w:rsidR="006835A3" w:rsidRPr="00EB5408" w:rsidRDefault="00000000">
      <w:pPr>
        <w:spacing w:after="160" w:line="285" w:lineRule="auto"/>
        <w:jc w:val="both"/>
        <w:rPr>
          <w:color w:val="000000"/>
        </w:rPr>
      </w:pPr>
      <w:r w:rsidRPr="00EB5408">
        <w:rPr>
          <w:color w:val="000000"/>
        </w:rPr>
        <w:t>Diante do exposto, concluímos que:</w:t>
      </w:r>
    </w:p>
    <w:p w14:paraId="075096A4" w14:textId="77777777" w:rsidR="006835A3" w:rsidRPr="00EB5408" w:rsidRDefault="00000000">
      <w:pPr>
        <w:spacing w:after="100" w:line="285" w:lineRule="auto"/>
        <w:ind w:left="360"/>
        <w:jc w:val="both"/>
        <w:rPr>
          <w:color w:val="000000"/>
        </w:rPr>
      </w:pPr>
      <w:r w:rsidRPr="00EB5408">
        <w:rPr>
          <w:color w:val="000000"/>
        </w:rPr>
        <w:t>(a) a CBS tem fato gerador no fornecimento, presumido na data prevista de entrega informada na NF-e ou, na falta dela, na data de emissão;</w:t>
      </w:r>
    </w:p>
    <w:p w14:paraId="39AFD145" w14:textId="77777777" w:rsidR="006835A3" w:rsidRPr="00EB5408" w:rsidRDefault="00000000">
      <w:pPr>
        <w:spacing w:after="100" w:line="285" w:lineRule="auto"/>
        <w:ind w:left="360"/>
        <w:jc w:val="both"/>
        <w:rPr>
          <w:color w:val="000000"/>
        </w:rPr>
      </w:pPr>
      <w:r w:rsidRPr="00EB5408">
        <w:rPr>
          <w:color w:val="000000"/>
        </w:rPr>
        <w:t xml:space="preserve">(b) o PIS e a </w:t>
      </w:r>
      <w:proofErr w:type="spellStart"/>
      <w:r w:rsidRPr="00EB5408">
        <w:rPr>
          <w:color w:val="000000"/>
        </w:rPr>
        <w:t>Cofins</w:t>
      </w:r>
      <w:proofErr w:type="spellEnd"/>
      <w:r w:rsidRPr="00EB5408">
        <w:rPr>
          <w:color w:val="000000"/>
        </w:rPr>
        <w:t xml:space="preserve"> têm fato gerador no auferimento da receita, pelo regime de competência;</w:t>
      </w:r>
    </w:p>
    <w:p w14:paraId="28FC06AE" w14:textId="77777777" w:rsidR="006835A3" w:rsidRPr="00EB5408" w:rsidRDefault="00000000">
      <w:pPr>
        <w:spacing w:after="100" w:line="285" w:lineRule="auto"/>
        <w:ind w:left="360"/>
        <w:jc w:val="both"/>
        <w:rPr>
          <w:color w:val="000000"/>
        </w:rPr>
      </w:pPr>
      <w:r w:rsidRPr="00EB5408">
        <w:rPr>
          <w:color w:val="000000"/>
        </w:rPr>
        <w:t xml:space="preserve">(c) havendo receita auferida até 31/12/2026, o art. 408, § 1º, da LC 214/2025 afasta a CBS e mantém o PIS e a </w:t>
      </w:r>
      <w:proofErr w:type="spellStart"/>
      <w:r w:rsidRPr="00EB5408">
        <w:rPr>
          <w:color w:val="000000"/>
        </w:rPr>
        <w:t>Cofins</w:t>
      </w:r>
      <w:proofErr w:type="spellEnd"/>
      <w:r w:rsidRPr="00EB5408">
        <w:rPr>
          <w:color w:val="000000"/>
        </w:rPr>
        <w:t>, ainda que a entrega ocorra em 2027;</w:t>
      </w:r>
    </w:p>
    <w:p w14:paraId="6799070B" w14:textId="77777777" w:rsidR="006835A3" w:rsidRPr="00EB5408" w:rsidRDefault="00000000">
      <w:pPr>
        <w:spacing w:after="100" w:line="285" w:lineRule="auto"/>
        <w:ind w:left="360"/>
        <w:jc w:val="both"/>
        <w:rPr>
          <w:color w:val="000000"/>
        </w:rPr>
      </w:pPr>
      <w:r w:rsidRPr="00EB5408">
        <w:rPr>
          <w:color w:val="000000"/>
        </w:rPr>
        <w:t>(d) o critério decisivo é o aperfeiçoamento da venda; as cláusulas FOB e CIF servem como prova, e não como gatilho;</w:t>
      </w:r>
    </w:p>
    <w:p w14:paraId="74B015EC" w14:textId="77777777" w:rsidR="006835A3" w:rsidRPr="00EB5408" w:rsidRDefault="00000000">
      <w:pPr>
        <w:spacing w:after="100" w:line="285" w:lineRule="auto"/>
        <w:ind w:left="360"/>
        <w:jc w:val="both"/>
        <w:rPr>
          <w:color w:val="000000"/>
        </w:rPr>
      </w:pPr>
      <w:r w:rsidRPr="00EB5408">
        <w:rPr>
          <w:color w:val="000000"/>
        </w:rPr>
        <w:t>(e) se o controle só passa ao comprador na entrega, ou se a nota de dezembro documenta mero adiantamento, a operação é tributada pela CBS em 2027;</w:t>
      </w:r>
    </w:p>
    <w:p w14:paraId="2245F247" w14:textId="77777777" w:rsidR="006835A3" w:rsidRPr="00EB5408" w:rsidRDefault="00000000">
      <w:pPr>
        <w:spacing w:after="100" w:line="285" w:lineRule="auto"/>
        <w:ind w:left="360"/>
        <w:jc w:val="both"/>
        <w:rPr>
          <w:color w:val="000000"/>
        </w:rPr>
      </w:pPr>
      <w:r w:rsidRPr="00EB5408">
        <w:rPr>
          <w:color w:val="000000"/>
        </w:rPr>
        <w:t>(f) recomendamos alinhar contrato, nota fiscal, contabilidade e EFD-Contribuições antes das notas de dezembro e acompanhar o tratamento do IBS.</w:t>
      </w:r>
    </w:p>
    <w:p w14:paraId="706C44B6" w14:textId="77777777" w:rsidR="006835A3" w:rsidRPr="00EB5408" w:rsidRDefault="00000000">
      <w:pPr>
        <w:spacing w:before="200" w:after="600" w:line="285" w:lineRule="auto"/>
        <w:jc w:val="both"/>
        <w:rPr>
          <w:color w:val="000000"/>
        </w:rPr>
      </w:pPr>
      <w:r w:rsidRPr="00EB5408">
        <w:rPr>
          <w:color w:val="000000"/>
        </w:rPr>
        <w:t>É o parecer, salvo melhor juízo.</w:t>
      </w:r>
    </w:p>
    <w:p w14:paraId="0494FFCB" w14:textId="77777777" w:rsidR="006835A3" w:rsidRPr="00EB5408" w:rsidRDefault="00000000">
      <w:pPr>
        <w:jc w:val="center"/>
        <w:rPr>
          <w:color w:val="000000"/>
        </w:rPr>
      </w:pPr>
      <w:r w:rsidRPr="00EB5408">
        <w:rPr>
          <w:b/>
          <w:bCs/>
          <w:color w:val="000000"/>
        </w:rPr>
        <w:t>Piraci Oliveira</w:t>
      </w:r>
    </w:p>
    <w:p w14:paraId="6325C405" w14:textId="77777777" w:rsidR="006835A3" w:rsidRPr="00EB5408" w:rsidRDefault="00000000">
      <w:pPr>
        <w:spacing w:after="360"/>
        <w:jc w:val="center"/>
        <w:rPr>
          <w:color w:val="000000"/>
        </w:rPr>
      </w:pPr>
      <w:r w:rsidRPr="00EB5408">
        <w:rPr>
          <w:color w:val="000000"/>
        </w:rPr>
        <w:t>OAB/SP 200.270</w:t>
      </w:r>
    </w:p>
    <w:p w14:paraId="69F0E93C" w14:textId="3A9DE4F4" w:rsidR="006835A3" w:rsidRPr="00EB5408" w:rsidRDefault="006835A3" w:rsidP="00EB5408">
      <w:pPr>
        <w:spacing w:after="80" w:line="285" w:lineRule="auto"/>
        <w:jc w:val="both"/>
        <w:rPr>
          <w:color w:val="000000"/>
        </w:rPr>
      </w:pPr>
    </w:p>
    <w:sectPr w:rsidR="006835A3" w:rsidRPr="00EB54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51D7FF" w14:textId="77777777" w:rsidR="007C15E2" w:rsidRDefault="007C15E2">
      <w:r>
        <w:separator/>
      </w:r>
    </w:p>
  </w:endnote>
  <w:endnote w:type="continuationSeparator" w:id="0">
    <w:p w14:paraId="1A5E9E18" w14:textId="77777777" w:rsidR="007C15E2" w:rsidRDefault="007C1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990434" w14:textId="77777777" w:rsidR="00EB5408" w:rsidRDefault="00EB540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84736C" w14:textId="77777777" w:rsidR="006835A3" w:rsidRDefault="00000000">
    <w:pPr>
      <w:pBdr>
        <w:top w:val="single" w:sz="4" w:space="6" w:color="000000"/>
      </w:pBdr>
      <w:jc w:val="center"/>
    </w:pPr>
    <w:r>
      <w:rPr>
        <w:color w:val="000000"/>
        <w:sz w:val="17"/>
        <w:szCs w:val="17"/>
      </w:rPr>
      <w:t xml:space="preserve">piraci@piraci.com.br / </w:t>
    </w:r>
    <w:proofErr w:type="spellStart"/>
    <w:proofErr w:type="gramStart"/>
    <w:r>
      <w:rPr>
        <w:color w:val="000000"/>
        <w:sz w:val="17"/>
        <w:szCs w:val="17"/>
      </w:rPr>
      <w:t>piraciadv.blog</w:t>
    </w:r>
    <w:proofErr w:type="spellEnd"/>
    <w:proofErr w:type="gramEnd"/>
    <w:r>
      <w:rPr>
        <w:color w:val="000000"/>
        <w:sz w:val="17"/>
        <w:szCs w:val="17"/>
      </w:rPr>
      <w:t xml:space="preserve"> / </w:t>
    </w:r>
    <w:proofErr w:type="spellStart"/>
    <w:r>
      <w:rPr>
        <w:color w:val="000000"/>
        <w:sz w:val="17"/>
        <w:szCs w:val="17"/>
      </w:rPr>
      <w:t>piracioliveira</w:t>
    </w:r>
    <w:proofErr w:type="spellEnd"/>
    <w:r>
      <w:rPr>
        <w:color w:val="000000"/>
        <w:sz w:val="17"/>
        <w:szCs w:val="17"/>
      </w:rPr>
      <w:t xml:space="preserve"> (</w:t>
    </w:r>
    <w:proofErr w:type="spellStart"/>
    <w:r>
      <w:rPr>
        <w:color w:val="000000"/>
        <w:sz w:val="17"/>
        <w:szCs w:val="17"/>
      </w:rPr>
      <w:t>instagram</w:t>
    </w:r>
    <w:proofErr w:type="spellEnd"/>
    <w:r>
      <w:rPr>
        <w:color w:val="000000"/>
        <w:sz w:val="17"/>
        <w:szCs w:val="17"/>
      </w:rPr>
      <w:t>)</w:t>
    </w:r>
  </w:p>
  <w:p w14:paraId="7F4CB758" w14:textId="77777777" w:rsidR="006835A3" w:rsidRDefault="00000000">
    <w:pPr>
      <w:jc w:val="right"/>
    </w:pPr>
    <w:r>
      <w:rPr>
        <w:sz w:val="17"/>
        <w:szCs w:val="17"/>
      </w:rPr>
      <w:fldChar w:fldCharType="begin"/>
    </w:r>
    <w:r>
      <w:rPr>
        <w:sz w:val="17"/>
        <w:szCs w:val="17"/>
      </w:rPr>
      <w:instrText>PAGE</w:instrText>
    </w:r>
    <w:r>
      <w:rPr>
        <w:sz w:val="17"/>
        <w:szCs w:val="17"/>
      </w:rPr>
      <w:fldChar w:fldCharType="separate"/>
    </w:r>
    <w:r w:rsidR="00EB5408">
      <w:rPr>
        <w:noProof/>
        <w:sz w:val="17"/>
        <w:szCs w:val="17"/>
      </w:rPr>
      <w:t>1</w:t>
    </w:r>
    <w:r>
      <w:rPr>
        <w:sz w:val="17"/>
        <w:szCs w:val="17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3A6031" w14:textId="77777777" w:rsidR="00EB5408" w:rsidRDefault="00EB540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BFD1E8" w14:textId="77777777" w:rsidR="007C15E2" w:rsidRDefault="007C15E2">
      <w:r>
        <w:separator/>
      </w:r>
    </w:p>
  </w:footnote>
  <w:footnote w:type="continuationSeparator" w:id="0">
    <w:p w14:paraId="37C8AC4F" w14:textId="77777777" w:rsidR="007C15E2" w:rsidRDefault="007C15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BBA2A6" w14:textId="77777777" w:rsidR="00EB5408" w:rsidRDefault="00EB540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A64CA5" w14:textId="77777777" w:rsidR="006835A3" w:rsidRDefault="00000000">
    <w:pPr>
      <w:jc w:val="center"/>
    </w:pPr>
    <w:r>
      <w:rPr>
        <w:b/>
        <w:bCs/>
        <w:spacing w:val="40"/>
        <w:sz w:val="30"/>
        <w:szCs w:val="30"/>
      </w:rPr>
      <w:t>PIRACI OLIVEIRA</w:t>
    </w:r>
  </w:p>
  <w:p w14:paraId="36D75459" w14:textId="77777777" w:rsidR="006835A3" w:rsidRDefault="00000000">
    <w:pPr>
      <w:pBdr>
        <w:bottom w:val="single" w:sz="6" w:space="6" w:color="000000"/>
      </w:pBdr>
      <w:spacing w:after="120"/>
      <w:jc w:val="center"/>
    </w:pPr>
    <w:r>
      <w:rPr>
        <w:spacing w:val="60"/>
        <w:sz w:val="16"/>
        <w:szCs w:val="16"/>
      </w:rPr>
      <w:t>SOCIEDADE DE ADVOGADOS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9A97D4" w14:textId="77777777" w:rsidR="00EB5408" w:rsidRDefault="00EB540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0F1EA1"/>
    <w:multiLevelType w:val="hybridMultilevel"/>
    <w:tmpl w:val="A0C2D2FE"/>
    <w:lvl w:ilvl="0" w:tplc="D80851AC">
      <w:start w:val="1"/>
      <w:numFmt w:val="bullet"/>
      <w:lvlText w:val="•"/>
      <w:lvlJc w:val="left"/>
      <w:pPr>
        <w:ind w:left="567" w:hanging="283"/>
      </w:pPr>
    </w:lvl>
    <w:lvl w:ilvl="1" w:tplc="BFD6FECC">
      <w:numFmt w:val="decimal"/>
      <w:lvlText w:val=""/>
      <w:lvlJc w:val="left"/>
    </w:lvl>
    <w:lvl w:ilvl="2" w:tplc="6D06068C">
      <w:numFmt w:val="decimal"/>
      <w:lvlText w:val=""/>
      <w:lvlJc w:val="left"/>
    </w:lvl>
    <w:lvl w:ilvl="3" w:tplc="7A42B49C">
      <w:numFmt w:val="decimal"/>
      <w:lvlText w:val=""/>
      <w:lvlJc w:val="left"/>
    </w:lvl>
    <w:lvl w:ilvl="4" w:tplc="32AA179C">
      <w:numFmt w:val="decimal"/>
      <w:lvlText w:val=""/>
      <w:lvlJc w:val="left"/>
    </w:lvl>
    <w:lvl w:ilvl="5" w:tplc="015EC5A2">
      <w:numFmt w:val="decimal"/>
      <w:lvlText w:val=""/>
      <w:lvlJc w:val="left"/>
    </w:lvl>
    <w:lvl w:ilvl="6" w:tplc="7868A16A">
      <w:numFmt w:val="decimal"/>
      <w:lvlText w:val=""/>
      <w:lvlJc w:val="left"/>
    </w:lvl>
    <w:lvl w:ilvl="7" w:tplc="EADA56D6">
      <w:numFmt w:val="decimal"/>
      <w:lvlText w:val=""/>
      <w:lvlJc w:val="left"/>
    </w:lvl>
    <w:lvl w:ilvl="8" w:tplc="D6AE7E36">
      <w:numFmt w:val="decimal"/>
      <w:lvlText w:val=""/>
      <w:lvlJc w:val="left"/>
    </w:lvl>
  </w:abstractNum>
  <w:abstractNum w:abstractNumId="1" w15:restartNumberingAfterBreak="0">
    <w:nsid w:val="71A2145B"/>
    <w:multiLevelType w:val="hybridMultilevel"/>
    <w:tmpl w:val="24808588"/>
    <w:lvl w:ilvl="0" w:tplc="22C2D4D6">
      <w:start w:val="1"/>
      <w:numFmt w:val="bullet"/>
      <w:lvlText w:val="●"/>
      <w:lvlJc w:val="left"/>
      <w:pPr>
        <w:ind w:left="720" w:hanging="360"/>
      </w:pPr>
    </w:lvl>
    <w:lvl w:ilvl="1" w:tplc="BBEE3A14">
      <w:start w:val="1"/>
      <w:numFmt w:val="bullet"/>
      <w:lvlText w:val="○"/>
      <w:lvlJc w:val="left"/>
      <w:pPr>
        <w:ind w:left="1440" w:hanging="360"/>
      </w:pPr>
    </w:lvl>
    <w:lvl w:ilvl="2" w:tplc="9CAA9CFA">
      <w:start w:val="1"/>
      <w:numFmt w:val="bullet"/>
      <w:lvlText w:val="■"/>
      <w:lvlJc w:val="left"/>
      <w:pPr>
        <w:ind w:left="2160" w:hanging="360"/>
      </w:pPr>
    </w:lvl>
    <w:lvl w:ilvl="3" w:tplc="B75CE92C">
      <w:start w:val="1"/>
      <w:numFmt w:val="bullet"/>
      <w:lvlText w:val="●"/>
      <w:lvlJc w:val="left"/>
      <w:pPr>
        <w:ind w:left="2880" w:hanging="360"/>
      </w:pPr>
    </w:lvl>
    <w:lvl w:ilvl="4" w:tplc="E9669B6A">
      <w:start w:val="1"/>
      <w:numFmt w:val="bullet"/>
      <w:lvlText w:val="○"/>
      <w:lvlJc w:val="left"/>
      <w:pPr>
        <w:ind w:left="3600" w:hanging="360"/>
      </w:pPr>
    </w:lvl>
    <w:lvl w:ilvl="5" w:tplc="D766FC56">
      <w:start w:val="1"/>
      <w:numFmt w:val="bullet"/>
      <w:lvlText w:val="■"/>
      <w:lvlJc w:val="left"/>
      <w:pPr>
        <w:ind w:left="4320" w:hanging="360"/>
      </w:pPr>
    </w:lvl>
    <w:lvl w:ilvl="6" w:tplc="FC9471B0">
      <w:start w:val="1"/>
      <w:numFmt w:val="bullet"/>
      <w:lvlText w:val="●"/>
      <w:lvlJc w:val="left"/>
      <w:pPr>
        <w:ind w:left="5040" w:hanging="360"/>
      </w:pPr>
    </w:lvl>
    <w:lvl w:ilvl="7" w:tplc="EE2475A2">
      <w:start w:val="1"/>
      <w:numFmt w:val="bullet"/>
      <w:lvlText w:val="●"/>
      <w:lvlJc w:val="left"/>
      <w:pPr>
        <w:ind w:left="5760" w:hanging="360"/>
      </w:pPr>
    </w:lvl>
    <w:lvl w:ilvl="8" w:tplc="531CED32">
      <w:start w:val="1"/>
      <w:numFmt w:val="bullet"/>
      <w:lvlText w:val="●"/>
      <w:lvlJc w:val="left"/>
      <w:pPr>
        <w:ind w:left="6480" w:hanging="360"/>
      </w:pPr>
    </w:lvl>
  </w:abstractNum>
  <w:num w:numId="1" w16cid:durableId="1522664156">
    <w:abstractNumId w:val="1"/>
    <w:lvlOverride w:ilvl="0">
      <w:startOverride w:val="1"/>
    </w:lvlOverride>
  </w:num>
  <w:num w:numId="2" w16cid:durableId="129875471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5A3"/>
    <w:rsid w:val="00417696"/>
    <w:rsid w:val="006835A3"/>
    <w:rsid w:val="007C15E2"/>
    <w:rsid w:val="00EB5408"/>
    <w:rsid w:val="00F11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884F701"/>
  <w15:docId w15:val="{868CD87F-C172-4049-A466-78F6D910F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Palatino Linotype" w:eastAsia="Palatino Linotype" w:hAnsi="Palatino Linotype" w:cs="Palatino Linotype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EB540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B5408"/>
  </w:style>
  <w:style w:type="paragraph" w:styleId="Rodap">
    <w:name w:val="footer"/>
    <w:basedOn w:val="Normal"/>
    <w:link w:val="RodapChar"/>
    <w:uiPriority w:val="99"/>
    <w:unhideWhenUsed/>
    <w:rsid w:val="00EB540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B54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C390994-6F68-6E44-81F5-BAC1271A26B0}">
  <we:reference id="wa200010453" version="1.0.0.1" store="pt-BR" storeType="OMEX"/>
  <we:alternateReferences>
    <we:reference id="wa200010453" version="1.0.0.1" store="pt-BR" storeType="OMEX"/>
  </we:alternateReferences>
  <we:properties>
    <we:property name="claude.fileId" value="&quot;440901b8-9d35-4afd-9101-61e023d62fb4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1711</Words>
  <Characters>8064</Characters>
  <Application>Microsoft Office Word</Application>
  <DocSecurity>0</DocSecurity>
  <Lines>187</Lines>
  <Paragraphs>98</Paragraphs>
  <ScaleCrop>false</ScaleCrop>
  <Company/>
  <LinksUpToDate>false</LinksUpToDate>
  <CharactersWithSpaces>9677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Piraci Oliveira</cp:lastModifiedBy>
  <cp:revision>3</cp:revision>
  <dcterms:created xsi:type="dcterms:W3CDTF">2026-10-17T22:34:00Z</dcterms:created>
  <dcterms:modified xsi:type="dcterms:W3CDTF">2026-10-18T12:15:00Z</dcterms:modified>
</cp:coreProperties>
</file>